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66"/>
        <w:gridCol w:w="5194"/>
        <w:gridCol w:w="190"/>
        <w:gridCol w:w="115"/>
        <w:gridCol w:w="4091"/>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0C8C1AB9" w:rsidR="00093CA9" w:rsidRDefault="007510C0" w:rsidP="00093CA9">
            <w:r>
              <w:t>JSA Advocates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5E47CD1E" w:rsidR="00093CA9" w:rsidRDefault="00CD0634" w:rsidP="00093CA9">
            <w:r>
              <w:t>India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1787A25D" w:rsidR="00093CA9" w:rsidRDefault="00BC3D62" w:rsidP="00093CA9">
            <w:r w:rsidRPr="00BC3D62">
              <w:t>Framework for acceptance of Green Deposits (“Green Deposits Framework”)</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09E264D8" w:rsidR="00093CA9" w:rsidRDefault="00A279A5" w:rsidP="00093CA9">
            <w:hyperlink r:id="rId17" w:history="1">
              <w:r w:rsidRPr="00C467D9">
                <w:rPr>
                  <w:rStyle w:val="Hyperlink"/>
                </w:rPr>
                <w:t>https://web.archive.org/web/20250708163740/https://rbi.org.in/Scripts/NotificationUser.aspx?Id=12487&amp;Mode=0</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2DF39FA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24895748"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4415BBB7"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1CF2AAA6" w:rsidR="00093CA9" w:rsidRDefault="00BC3D62" w:rsidP="00093CA9">
            <w:r>
              <w:t>X</w:t>
            </w:r>
          </w:p>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2F921872" w14:textId="41064C7F" w:rsidR="00151D71" w:rsidRPr="00151D71" w:rsidRDefault="00151D71" w:rsidP="003E5BC7">
            <w:pPr>
              <w:jc w:val="both"/>
              <w:rPr>
                <w:lang w:val="en-IN"/>
              </w:rPr>
            </w:pPr>
            <w:r w:rsidRPr="00151D71">
              <w:rPr>
                <w:lang w:val="en-IN"/>
              </w:rPr>
              <w:t>The Framework for Acceptance of Green Deposits is a prudential regulation issued by the RBI, applicable to Scheduled Commercial Banks (excluding Regional Rural Banks, Local Area Banks, and Payments Banks) and deposit-taking Non-Banking Financial Companies (NBFCs). The framework mandates these regulated entities (REs) to offer green deposits as a means to mobilize public funds toward environmentally sustainable projects. Its core objectives are to:</w:t>
            </w:r>
          </w:p>
          <w:p w14:paraId="12C08BD5" w14:textId="7F54C8F3" w:rsidR="00151D71" w:rsidRPr="00151D71" w:rsidRDefault="00151D71" w:rsidP="003E5BC7">
            <w:pPr>
              <w:pStyle w:val="ListParagraph"/>
              <w:numPr>
                <w:ilvl w:val="0"/>
                <w:numId w:val="58"/>
              </w:numPr>
              <w:jc w:val="both"/>
              <w:rPr>
                <w:lang w:val="en-IN"/>
              </w:rPr>
            </w:pPr>
            <w:r w:rsidRPr="00151D71">
              <w:rPr>
                <w:lang w:val="en-IN"/>
              </w:rPr>
              <w:t>safeguard depositor interests;</w:t>
            </w:r>
          </w:p>
          <w:p w14:paraId="7FC1299D" w14:textId="2DC90625" w:rsidR="00151D71" w:rsidRPr="00151D71" w:rsidRDefault="00151D71" w:rsidP="003E5BC7">
            <w:pPr>
              <w:pStyle w:val="ListParagraph"/>
              <w:numPr>
                <w:ilvl w:val="0"/>
                <w:numId w:val="58"/>
              </w:numPr>
              <w:jc w:val="both"/>
              <w:rPr>
                <w:lang w:val="en-IN"/>
              </w:rPr>
            </w:pPr>
            <w:r w:rsidRPr="00151D71">
              <w:rPr>
                <w:lang w:val="en-IN"/>
              </w:rPr>
              <w:t>support customers in aligning with sustainability goals;</w:t>
            </w:r>
          </w:p>
          <w:p w14:paraId="306677ED" w14:textId="056DDC91" w:rsidR="00151D71" w:rsidRPr="00151D71" w:rsidRDefault="00151D71" w:rsidP="003E5BC7">
            <w:pPr>
              <w:pStyle w:val="ListParagraph"/>
              <w:numPr>
                <w:ilvl w:val="0"/>
                <w:numId w:val="58"/>
              </w:numPr>
              <w:jc w:val="both"/>
              <w:rPr>
                <w:lang w:val="en-IN"/>
              </w:rPr>
            </w:pPr>
            <w:r w:rsidRPr="00151D71">
              <w:rPr>
                <w:lang w:val="en-IN"/>
              </w:rPr>
              <w:t>mitigate greenwashing risks; and</w:t>
            </w:r>
          </w:p>
          <w:p w14:paraId="66139DBB" w14:textId="1F0D2BDE" w:rsidR="00151D71" w:rsidRPr="00151D71" w:rsidRDefault="00151D71" w:rsidP="003E5BC7">
            <w:pPr>
              <w:pStyle w:val="ListParagraph"/>
              <w:numPr>
                <w:ilvl w:val="0"/>
                <w:numId w:val="58"/>
              </w:numPr>
              <w:jc w:val="both"/>
              <w:rPr>
                <w:lang w:val="en-IN"/>
              </w:rPr>
            </w:pPr>
            <w:r w:rsidRPr="00151D71">
              <w:rPr>
                <w:lang w:val="en-IN"/>
              </w:rPr>
              <w:t>enhance credit flow to eligible green activities and sectors.</w:t>
            </w:r>
          </w:p>
          <w:p w14:paraId="18257824" w14:textId="31E63A8F" w:rsidR="00093CA9" w:rsidRPr="003E5BC7" w:rsidRDefault="00151D71" w:rsidP="003E5BC7">
            <w:pPr>
              <w:jc w:val="both"/>
              <w:rPr>
                <w:lang w:val="en-IN"/>
              </w:rPr>
            </w:pPr>
            <w:r w:rsidRPr="00151D71">
              <w:rPr>
                <w:lang w:val="en-IN"/>
              </w:rPr>
              <w:t>This policy tool falls squarely within the domain of Prudential Tools, as it requires REs to implement board-approved governance frameworks, conduct third-party verification, undertake impact assessments, and adhere to detailed internal control and disclosure requirements related to the deployment of green deposits.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62283363" w:rsidR="00093CA9" w:rsidRDefault="00016471"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4550FDFB" w:rsidR="00093CA9" w:rsidRPr="00173D7C" w:rsidRDefault="00016471"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5C046AFE" w:rsidR="00093CA9" w:rsidRPr="00173D7C" w:rsidRDefault="00016471"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39C2C482" w:rsidR="00093CA9" w:rsidRDefault="001E43D9" w:rsidP="00093CA9">
            <w:r w:rsidRPr="001E43D9">
              <w:t>Independent regulatory or supervisory body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8615C2F" w:rsidR="00093CA9" w:rsidRPr="006B7B0D" w:rsidRDefault="001E43D9" w:rsidP="00093CA9">
            <w:r w:rsidRPr="001E43D9">
              <w:t>Reserve Bank of India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0BE467C3" w:rsidR="00093CA9" w:rsidRPr="006B7B0D" w:rsidRDefault="001E43D9"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lastRenderedPageBreak/>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A1A67EA"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lastRenderedPageBreak/>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5890B6DB" w:rsidR="00093CA9" w:rsidRDefault="001E43D9"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3658665" w14:textId="77777777" w:rsidR="00A767A3" w:rsidRPr="00A767A3" w:rsidRDefault="00A767A3" w:rsidP="00A767A3">
            <w:pPr>
              <w:jc w:val="both"/>
              <w:rPr>
                <w:color w:val="000000" w:themeColor="text1"/>
                <w:lang w:val="en-IN"/>
              </w:rPr>
            </w:pPr>
            <w:r w:rsidRPr="00A767A3">
              <w:rPr>
                <w:color w:val="000000" w:themeColor="text1"/>
                <w:lang w:val="en-IN"/>
              </w:rPr>
              <w:t>The Framework prescribes a robust set of monitoring and verification mechanisms to ensure compliance and transparency in the implementation of green deposit schemes:</w:t>
            </w:r>
          </w:p>
          <w:p w14:paraId="08E197A7" w14:textId="77777777" w:rsidR="00A767A3" w:rsidRPr="00A767A3" w:rsidRDefault="00A767A3" w:rsidP="00A767A3">
            <w:pPr>
              <w:numPr>
                <w:ilvl w:val="0"/>
                <w:numId w:val="59"/>
              </w:numPr>
              <w:tabs>
                <w:tab w:val="num" w:pos="720"/>
              </w:tabs>
              <w:jc w:val="both"/>
              <w:rPr>
                <w:color w:val="000000" w:themeColor="text1"/>
                <w:lang w:val="en-IN"/>
              </w:rPr>
            </w:pPr>
            <w:r w:rsidRPr="00A767A3">
              <w:rPr>
                <w:color w:val="000000" w:themeColor="text1"/>
                <w:lang w:val="en-IN"/>
              </w:rPr>
              <w:t>Annual third-party verification/assurance of the use of proceeds and internal processes, including project evaluation, fund allocation, and validation of the sustainability credentials of borrowers [paras 8 and 9];</w:t>
            </w:r>
          </w:p>
          <w:p w14:paraId="518395AB" w14:textId="77777777" w:rsidR="00A767A3" w:rsidRPr="00A767A3" w:rsidRDefault="00A767A3" w:rsidP="00A767A3">
            <w:pPr>
              <w:numPr>
                <w:ilvl w:val="0"/>
                <w:numId w:val="59"/>
              </w:numPr>
              <w:tabs>
                <w:tab w:val="num" w:pos="720"/>
              </w:tabs>
              <w:jc w:val="both"/>
              <w:rPr>
                <w:color w:val="000000" w:themeColor="text1"/>
                <w:lang w:val="en-IN"/>
              </w:rPr>
            </w:pPr>
            <w:r w:rsidRPr="00A767A3">
              <w:rPr>
                <w:color w:val="000000" w:themeColor="text1"/>
                <w:lang w:val="en-IN"/>
              </w:rPr>
              <w:t>Annual impact assessment reports, required from FY 2024–25 onwards, to evaluate the environmental outcomes of allocated projects [para 10];</w:t>
            </w:r>
          </w:p>
          <w:p w14:paraId="40119D35" w14:textId="77777777" w:rsidR="00A767A3" w:rsidRPr="00A767A3" w:rsidRDefault="00A767A3" w:rsidP="00A767A3">
            <w:pPr>
              <w:numPr>
                <w:ilvl w:val="0"/>
                <w:numId w:val="59"/>
              </w:numPr>
              <w:tabs>
                <w:tab w:val="num" w:pos="720"/>
              </w:tabs>
              <w:jc w:val="both"/>
              <w:rPr>
                <w:color w:val="000000" w:themeColor="text1"/>
                <w:lang w:val="en-IN"/>
              </w:rPr>
            </w:pPr>
            <w:r w:rsidRPr="00A767A3">
              <w:rPr>
                <w:color w:val="000000" w:themeColor="text1"/>
                <w:lang w:val="en-IN"/>
              </w:rPr>
              <w:t>Board-level oversight, mandating an annual review report to be placed before the board within three months of the financial year-end, detailing funds raised, deployment status, and assurance findings [para 11];</w:t>
            </w:r>
          </w:p>
          <w:p w14:paraId="7EC8DD28" w14:textId="77777777" w:rsidR="00A767A3" w:rsidRPr="00A767A3" w:rsidRDefault="00A767A3" w:rsidP="00A767A3">
            <w:pPr>
              <w:numPr>
                <w:ilvl w:val="0"/>
                <w:numId w:val="59"/>
              </w:numPr>
              <w:tabs>
                <w:tab w:val="num" w:pos="720"/>
              </w:tabs>
              <w:jc w:val="both"/>
              <w:rPr>
                <w:color w:val="000000" w:themeColor="text1"/>
                <w:lang w:val="en-IN"/>
              </w:rPr>
            </w:pPr>
            <w:r w:rsidRPr="00A767A3">
              <w:rPr>
                <w:color w:val="000000" w:themeColor="text1"/>
                <w:lang w:val="en-IN"/>
              </w:rPr>
              <w:t>Public disclosures, to be made in the RE’s annual financial statements in the format prescribed under Annex 2 [para 12].</w:t>
            </w:r>
          </w:p>
          <w:p w14:paraId="2C2128DB" w14:textId="77777777" w:rsidR="00093CA9" w:rsidRPr="008017F9" w:rsidRDefault="00093CA9" w:rsidP="003E5BC7">
            <w:pPr>
              <w:keepNext/>
              <w:jc w:val="both"/>
              <w:rPr>
                <w:color w:val="000000" w:themeColor="text1"/>
              </w:rPr>
            </w:pP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51D71"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51D71"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51D71"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51D7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3E03454F" w:rsidR="00D4323A" w:rsidRPr="00CF2E7C" w:rsidRDefault="00DB0041" w:rsidP="00CF2E7C">
            <w:pPr>
              <w:rPr>
                <w:rFonts w:ascii="Calibri" w:hAnsi="Calibri" w:cs="Calibri"/>
              </w:rPr>
            </w:pPr>
            <w:r>
              <w:rPr>
                <w:rFonts w:ascii="Calibri" w:hAnsi="Calibri" w:cs="Calibri"/>
              </w:rPr>
              <w:t>X</w:t>
            </w:r>
          </w:p>
        </w:tc>
        <w:tc>
          <w:tcPr>
            <w:tcW w:w="1505" w:type="dxa"/>
            <w:vAlign w:val="center"/>
          </w:tcPr>
          <w:p w14:paraId="242DA23C" w14:textId="77EBF6F6"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07A2405F" w:rsidR="00D4323A" w:rsidRPr="00CF2E7C" w:rsidRDefault="00DB0041" w:rsidP="00CF2E7C">
            <w:pPr>
              <w:rPr>
                <w:rFonts w:ascii="Calibri" w:hAnsi="Calibri" w:cs="Calibri"/>
              </w:rPr>
            </w:pPr>
            <w:r>
              <w:rPr>
                <w:rFonts w:ascii="Calibri" w:hAnsi="Calibri" w:cs="Calibri"/>
              </w:rPr>
              <w:t>X</w:t>
            </w:r>
          </w:p>
        </w:tc>
        <w:tc>
          <w:tcPr>
            <w:tcW w:w="1505" w:type="dxa"/>
            <w:vAlign w:val="center"/>
          </w:tcPr>
          <w:p w14:paraId="5A98AF5A" w14:textId="4BC3044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21851FA4" w:rsidR="00D4323A" w:rsidRPr="00CF2E7C" w:rsidRDefault="00AA477B"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170FA43E" w:rsidR="00D4323A" w:rsidRPr="00CF2E7C" w:rsidRDefault="00AA477B" w:rsidP="00CF2E7C">
            <w:pPr>
              <w:rPr>
                <w:rFonts w:ascii="Calibri" w:hAnsi="Calibri" w:cs="Calibri"/>
              </w:rPr>
            </w:pPr>
            <w:r>
              <w:rPr>
                <w:rFonts w:ascii="Calibri" w:hAnsi="Calibri" w:cs="Calibri"/>
              </w:rPr>
              <w:t>X</w:t>
            </w: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53830E9D" w:rsidR="00D4323A" w:rsidRPr="00CF2E7C" w:rsidRDefault="00DB0041" w:rsidP="00CF2E7C">
            <w:pPr>
              <w:rPr>
                <w:rFonts w:ascii="Calibri" w:hAnsi="Calibri" w:cs="Calibri"/>
              </w:rPr>
            </w:pPr>
            <w:r>
              <w:rPr>
                <w:rFonts w:ascii="Calibri" w:hAnsi="Calibri" w:cs="Calibri"/>
              </w:rPr>
              <w:t>X</w:t>
            </w:r>
          </w:p>
        </w:tc>
        <w:tc>
          <w:tcPr>
            <w:tcW w:w="1505" w:type="dxa"/>
            <w:vAlign w:val="center"/>
          </w:tcPr>
          <w:p w14:paraId="3395370C" w14:textId="14C30D36"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68CA368B" w:rsidR="00D4323A" w:rsidRPr="00CF2E7C" w:rsidRDefault="00AA477B" w:rsidP="00CF2E7C">
            <w:pPr>
              <w:rPr>
                <w:rFonts w:ascii="Calibri" w:hAnsi="Calibri" w:cs="Calibri"/>
              </w:rPr>
            </w:pPr>
            <w:r>
              <w:rPr>
                <w:rFonts w:ascii="Calibri" w:hAnsi="Calibri" w:cs="Calibri"/>
              </w:rPr>
              <w:t>X</w:t>
            </w: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4A43942B" w:rsidR="00D4323A" w:rsidRPr="00CF2E7C" w:rsidRDefault="00AA477B" w:rsidP="00CF2E7C">
            <w:pPr>
              <w:rPr>
                <w:rFonts w:ascii="Calibri" w:hAnsi="Calibri" w:cs="Calibri"/>
              </w:rPr>
            </w:pPr>
            <w:r>
              <w:rPr>
                <w:rFonts w:ascii="Calibri" w:hAnsi="Calibri" w:cs="Calibri"/>
              </w:rPr>
              <w:t>X</w:t>
            </w: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661A2D18" w:rsidR="00D4323A" w:rsidRPr="00CF2E7C" w:rsidRDefault="00AA477B" w:rsidP="00CF2E7C">
            <w:pPr>
              <w:rPr>
                <w:rFonts w:ascii="Calibri" w:hAnsi="Calibri" w:cs="Calibri"/>
              </w:rPr>
            </w:pPr>
            <w:r>
              <w:rPr>
                <w:rFonts w:ascii="Calibri" w:hAnsi="Calibri" w:cs="Calibri"/>
              </w:rPr>
              <w:t>X</w:t>
            </w: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3A81510D" w:rsidR="00D4323A" w:rsidRPr="00CF2E7C" w:rsidRDefault="00AA477B" w:rsidP="00CF2E7C">
            <w:pPr>
              <w:rPr>
                <w:rFonts w:ascii="Calibri" w:hAnsi="Calibri" w:cs="Calibri"/>
              </w:rPr>
            </w:pPr>
            <w:r>
              <w:rPr>
                <w:rFonts w:ascii="Calibri" w:hAnsi="Calibri" w:cs="Calibri"/>
              </w:rPr>
              <w:t>X</w:t>
            </w: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1909717B" w:rsidR="00D4323A" w:rsidRPr="00CF2E7C" w:rsidRDefault="00AA477B" w:rsidP="00CF2E7C">
            <w:pPr>
              <w:rPr>
                <w:rFonts w:ascii="Calibri" w:hAnsi="Calibri" w:cs="Calibri"/>
              </w:rPr>
            </w:pPr>
            <w:r>
              <w:rPr>
                <w:rFonts w:ascii="Calibri" w:hAnsi="Calibri" w:cs="Calibri"/>
              </w:rPr>
              <w:t>X</w:t>
            </w: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3A53A188" w:rsidR="00D4323A" w:rsidRPr="00CF2E7C" w:rsidRDefault="00AA477B" w:rsidP="00CF2E7C">
            <w:pPr>
              <w:rPr>
                <w:rFonts w:ascii="Calibri" w:hAnsi="Calibri" w:cs="Calibri"/>
              </w:rPr>
            </w:pPr>
            <w:r>
              <w:rPr>
                <w:rFonts w:ascii="Calibri" w:hAnsi="Calibri" w:cs="Calibri"/>
              </w:rPr>
              <w:t>X</w:t>
            </w: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lastRenderedPageBreak/>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250E126A" w:rsidR="00D4323A" w:rsidRPr="00CF2E7C" w:rsidRDefault="00AA477B" w:rsidP="00CF2E7C">
            <w:pPr>
              <w:rPr>
                <w:rFonts w:ascii="Calibri" w:hAnsi="Calibri" w:cs="Calibri"/>
              </w:rPr>
            </w:pPr>
            <w:r>
              <w:rPr>
                <w:rFonts w:ascii="Calibri" w:hAnsi="Calibri" w:cs="Calibri"/>
              </w:rPr>
              <w:t>X</w:t>
            </w: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1353FF7A" w:rsidR="00D4323A" w:rsidRPr="00CF2E7C" w:rsidRDefault="006932F7" w:rsidP="00CF2E7C">
            <w:pPr>
              <w:rPr>
                <w:rFonts w:ascii="Calibri" w:hAnsi="Calibri" w:cs="Calibri"/>
              </w:rPr>
            </w:pPr>
            <w:r>
              <w:rPr>
                <w:rFonts w:ascii="Calibri" w:hAnsi="Calibri" w:cs="Calibri"/>
              </w:rPr>
              <w:t>X</w:t>
            </w:r>
          </w:p>
        </w:tc>
        <w:tc>
          <w:tcPr>
            <w:tcW w:w="1505" w:type="dxa"/>
            <w:vAlign w:val="center"/>
          </w:tcPr>
          <w:p w14:paraId="654433FC" w14:textId="259787B9"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2E659BE8" w:rsidR="00DD292A" w:rsidRPr="006932F7" w:rsidRDefault="006932F7" w:rsidP="006932F7">
            <w:pPr>
              <w:jc w:val="both"/>
              <w:rPr>
                <w:rFonts w:ascii="Calibri" w:hAnsi="Calibri" w:cs="Calibri"/>
              </w:rPr>
            </w:pPr>
            <w:r w:rsidRPr="006932F7">
              <w:rPr>
                <w:rFonts w:ascii="Calibri" w:hAnsi="Calibri" w:cs="Calibri"/>
              </w:rPr>
              <w:t>The framework permits individuals and corporates (including institutional and retail customers) to voluntarily place green deposits with eligible regulated entities. These depositors, while not subject to the prudential obligations, are voluntary participants in the green finance ecosystem enabled by the tool.</w:t>
            </w: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50406F73" w:rsidR="00DD292A" w:rsidRPr="00CF2E7C" w:rsidRDefault="00AA477B"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0F9FA463" w:rsidR="00DD292A" w:rsidRPr="00CF2E7C" w:rsidRDefault="00AA477B" w:rsidP="00CF2E7C">
            <w:pPr>
              <w:rPr>
                <w:rFonts w:ascii="Calibri" w:hAnsi="Calibri" w:cs="Calibri"/>
              </w:rPr>
            </w:pPr>
            <w:r>
              <w:rPr>
                <w:rFonts w:ascii="Calibri" w:hAnsi="Calibri" w:cs="Calibri"/>
              </w:rPr>
              <w:t>X</w:t>
            </w: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4D84E727" w:rsidR="00DD292A" w:rsidRPr="00CF2E7C" w:rsidRDefault="00AA477B" w:rsidP="00CF2E7C">
            <w:pPr>
              <w:rPr>
                <w:rFonts w:ascii="Calibri" w:hAnsi="Calibri" w:cs="Calibri"/>
              </w:rPr>
            </w:pPr>
            <w:r>
              <w:rPr>
                <w:rFonts w:ascii="Calibri" w:hAnsi="Calibri" w:cs="Calibri"/>
              </w:rPr>
              <w:t>X</w:t>
            </w: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359D9B6E" w:rsidR="00DD292A" w:rsidRPr="00CF2E7C" w:rsidRDefault="00AA477B" w:rsidP="00CF2E7C">
            <w:pPr>
              <w:rPr>
                <w:rFonts w:ascii="Calibri" w:hAnsi="Calibri" w:cs="Calibri"/>
              </w:rPr>
            </w:pPr>
            <w:r>
              <w:rPr>
                <w:rFonts w:ascii="Calibri" w:hAnsi="Calibri" w:cs="Calibri"/>
              </w:rPr>
              <w:t>X</w:t>
            </w: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662984A" w:rsidR="00DD292A" w:rsidRPr="00CF2E7C" w:rsidRDefault="00AA477B" w:rsidP="00CF2E7C">
            <w:pPr>
              <w:rPr>
                <w:rFonts w:ascii="Calibri" w:hAnsi="Calibri" w:cs="Calibri"/>
              </w:rPr>
            </w:pPr>
            <w:r>
              <w:rPr>
                <w:rFonts w:ascii="Calibri" w:hAnsi="Calibri" w:cs="Calibri"/>
              </w:rPr>
              <w:t>X</w:t>
            </w: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4966B829" w:rsidR="00DD292A" w:rsidRPr="00CF2E7C" w:rsidRDefault="00AA477B" w:rsidP="00CF2E7C">
            <w:pPr>
              <w:rPr>
                <w:rFonts w:ascii="Calibri" w:hAnsi="Calibri" w:cs="Calibri"/>
              </w:rPr>
            </w:pPr>
            <w:r>
              <w:rPr>
                <w:rFonts w:ascii="Calibri" w:hAnsi="Calibri" w:cs="Calibri"/>
              </w:rPr>
              <w:t>X</w:t>
            </w: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4CEF7482"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3179B8AF"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lastRenderedPageBreak/>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60C6337" w14:textId="77777777" w:rsidR="00B61E1A" w:rsidRPr="00B61E1A" w:rsidRDefault="00B61E1A" w:rsidP="00B61E1A">
            <w:pPr>
              <w:jc w:val="both"/>
              <w:rPr>
                <w:rFonts w:ascii="Calibri" w:hAnsi="Calibri" w:cs="Calibri"/>
                <w:lang w:val="en-IN"/>
              </w:rPr>
            </w:pPr>
            <w:r w:rsidRPr="00B61E1A">
              <w:rPr>
                <w:rFonts w:ascii="Calibri" w:hAnsi="Calibri" w:cs="Calibri"/>
                <w:lang w:val="en-IN"/>
              </w:rPr>
              <w:t xml:space="preserve">The </w:t>
            </w:r>
            <w:r w:rsidRPr="00B61E1A">
              <w:rPr>
                <w:rFonts w:ascii="Calibri" w:hAnsi="Calibri" w:cs="Calibri"/>
                <w:i/>
                <w:iCs/>
                <w:lang w:val="en-IN"/>
              </w:rPr>
              <w:t>Framework for Acceptance of Green Deposits</w:t>
            </w:r>
            <w:r w:rsidRPr="00B61E1A">
              <w:rPr>
                <w:rFonts w:ascii="Calibri" w:hAnsi="Calibri" w:cs="Calibri"/>
                <w:lang w:val="en-IN"/>
              </w:rPr>
              <w:t xml:space="preserve"> applies exclusively to a defined subset of financial institutions, namely:</w:t>
            </w:r>
          </w:p>
          <w:p w14:paraId="444702E8" w14:textId="77777777" w:rsidR="00B61E1A" w:rsidRPr="00B61E1A" w:rsidRDefault="00B61E1A" w:rsidP="00B61E1A">
            <w:pPr>
              <w:numPr>
                <w:ilvl w:val="0"/>
                <w:numId w:val="60"/>
              </w:numPr>
              <w:tabs>
                <w:tab w:val="num" w:pos="720"/>
              </w:tabs>
              <w:jc w:val="both"/>
              <w:rPr>
                <w:rFonts w:ascii="Calibri" w:hAnsi="Calibri" w:cs="Calibri"/>
                <w:lang w:val="en-IN"/>
              </w:rPr>
            </w:pPr>
            <w:r w:rsidRPr="00B61E1A">
              <w:rPr>
                <w:rFonts w:ascii="Calibri" w:hAnsi="Calibri" w:cs="Calibri"/>
                <w:lang w:val="en-IN"/>
              </w:rPr>
              <w:t>Scheduled Commercial Banks (excluding Regional Rural Banks, Local Area Banks, and Payments Banks); and</w:t>
            </w:r>
          </w:p>
          <w:p w14:paraId="73475485" w14:textId="274FC937" w:rsidR="00B61E1A" w:rsidRPr="00B61E1A" w:rsidRDefault="00B61E1A" w:rsidP="00B61E1A">
            <w:pPr>
              <w:numPr>
                <w:ilvl w:val="0"/>
                <w:numId w:val="60"/>
              </w:numPr>
              <w:tabs>
                <w:tab w:val="num" w:pos="720"/>
              </w:tabs>
              <w:jc w:val="both"/>
              <w:rPr>
                <w:rFonts w:ascii="Calibri" w:hAnsi="Calibri" w:cs="Calibri"/>
                <w:lang w:val="en-IN"/>
              </w:rPr>
            </w:pPr>
            <w:r w:rsidRPr="00B61E1A">
              <w:rPr>
                <w:rFonts w:ascii="Calibri" w:hAnsi="Calibri" w:cs="Calibri"/>
                <w:lang w:val="en-IN"/>
              </w:rPr>
              <w:t>Deposit-taking NBFCs, including Housing Finance Companies.</w:t>
            </w:r>
          </w:p>
          <w:p w14:paraId="052C8C35" w14:textId="2FB9CD3B" w:rsidR="00DD292A" w:rsidRPr="00B61E1A" w:rsidRDefault="00B61E1A" w:rsidP="00B61E1A">
            <w:pPr>
              <w:jc w:val="both"/>
              <w:rPr>
                <w:rFonts w:ascii="Calibri" w:hAnsi="Calibri" w:cs="Calibri"/>
                <w:lang w:val="en-IN"/>
              </w:rPr>
            </w:pPr>
            <w:r w:rsidRPr="00B61E1A">
              <w:rPr>
                <w:rFonts w:ascii="Calibri" w:hAnsi="Calibri" w:cs="Calibri"/>
                <w:lang w:val="en-IN"/>
              </w:rPr>
              <w:t xml:space="preserve">These entities fall within the definition of REs under the Framework Para 3. </w:t>
            </w: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51D7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242162BF" w:rsidR="00DD292A" w:rsidRPr="00CF2E7C" w:rsidRDefault="00EA7613" w:rsidP="00CF2E7C">
            <w:pPr>
              <w:rPr>
                <w:rFonts w:ascii="Calibri" w:hAnsi="Calibri" w:cs="Calibri"/>
              </w:rPr>
            </w:pPr>
            <w:r w:rsidRPr="00EA7613">
              <w:rPr>
                <w:rFonts w:ascii="Calibri" w:hAnsi="Calibri" w:cs="Calibri"/>
              </w:rPr>
              <w:t>Entity must be regulated by the RBI under Indian law</w:t>
            </w: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BA75701" w:rsidR="00DD292A" w:rsidRPr="00CF2E7C" w:rsidRDefault="00704733" w:rsidP="00CF2E7C">
            <w:pPr>
              <w:rPr>
                <w:rFonts w:ascii="Calibri" w:hAnsi="Calibri" w:cs="Calibri"/>
              </w:rPr>
            </w:pPr>
            <w:r>
              <w:rPr>
                <w:rFonts w:ascii="Calibri" w:hAnsi="Calibri" w:cs="Calibri"/>
              </w:rPr>
              <w:t>X</w:t>
            </w: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lastRenderedPageBreak/>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46CEFC27" w:rsidR="00DD3B33" w:rsidRPr="00CF2E7C" w:rsidRDefault="00D37456" w:rsidP="00CF2E7C">
            <w:pPr>
              <w:rPr>
                <w:rFonts w:ascii="Calibri" w:hAnsi="Calibri" w:cs="Calibri"/>
              </w:rPr>
            </w:pPr>
            <w:r>
              <w:rPr>
                <w:rFonts w:ascii="Calibri" w:hAnsi="Calibri" w:cs="Calibri"/>
              </w:rPr>
              <w:t>X</w:t>
            </w: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27F8744D" w:rsidR="00DD3B33" w:rsidRPr="004B4780" w:rsidRDefault="00DD3B33" w:rsidP="003E5BC7">
            <w:pPr>
              <w:jc w:val="both"/>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038F8FCB" w:rsidR="00DD292A" w:rsidRPr="00CF2E7C" w:rsidRDefault="00740CF0" w:rsidP="00CF2E7C">
            <w:pPr>
              <w:rPr>
                <w:rFonts w:ascii="Calibri" w:hAnsi="Calibri" w:cs="Calibri"/>
              </w:rPr>
            </w:pPr>
            <w:r>
              <w:rPr>
                <w:rFonts w:ascii="Calibri" w:hAnsi="Calibri" w:cs="Calibri"/>
              </w:rPr>
              <w:t>X</w:t>
            </w: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lastRenderedPageBreak/>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137BCEDD" w:rsidR="00DD292A" w:rsidRPr="00740CF0" w:rsidRDefault="00DD292A" w:rsidP="003E5BC7">
            <w:pPr>
              <w:jc w:val="both"/>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6013A50B" w:rsidR="00DD292A" w:rsidRPr="00CF2E7C" w:rsidRDefault="00740CF0" w:rsidP="00CF2E7C">
            <w:pPr>
              <w:rPr>
                <w:rFonts w:ascii="Calibri" w:hAnsi="Calibri" w:cs="Calibri"/>
              </w:rPr>
            </w:pPr>
            <w:r>
              <w:rPr>
                <w:rFonts w:ascii="Calibri" w:hAnsi="Calibri" w:cs="Calibri"/>
              </w:rPr>
              <w:t>X</w:t>
            </w: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6AA87263" w:rsidR="00DD292A" w:rsidRPr="00D010B7" w:rsidRDefault="00DD292A" w:rsidP="003E5BC7">
            <w:pPr>
              <w:jc w:val="both"/>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31D97364" w:rsidR="00410853" w:rsidRPr="00CF2E7C" w:rsidRDefault="00304279"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56523C3A" w:rsidR="00F632FB" w:rsidRPr="00CF2E7C" w:rsidRDefault="00E15B1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0651C9D2" w:rsidR="00F632FB" w:rsidRPr="00CF2E7C" w:rsidRDefault="00E15B1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2D68951" w:rsidR="00F632FB" w:rsidRPr="00CF2E7C" w:rsidRDefault="00E15B1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59029BCD" w:rsidR="00F632FB" w:rsidRPr="00CF2E7C" w:rsidRDefault="00E15B1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2C15C134" w:rsidR="008C4722" w:rsidRPr="00CF2E7C" w:rsidRDefault="00D732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2196C2BF" w:rsidR="008C4722" w:rsidRPr="00CF2E7C" w:rsidRDefault="00D732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7EFF3698" w:rsidR="008C4722" w:rsidRPr="00CF2E7C" w:rsidRDefault="00D732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7CD6B351" w:rsidR="008C4722" w:rsidRPr="00CF2E7C" w:rsidRDefault="00D7327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5EE9910" w14:textId="4E2C12DC" w:rsidR="0015206C" w:rsidRPr="0015206C" w:rsidRDefault="0015206C" w:rsidP="0015206C">
            <w:pPr>
              <w:jc w:val="both"/>
              <w:textAlignment w:val="baseline"/>
              <w:rPr>
                <w:rFonts w:ascii="Calibri" w:eastAsia="Times New Roman" w:hAnsi="Calibri" w:cs="Calibri"/>
                <w:kern w:val="0"/>
                <w:lang w:val="en-IN" w:eastAsia="en-GB"/>
                <w14:ligatures w14:val="none"/>
              </w:rPr>
            </w:pPr>
            <w:r w:rsidRPr="0015206C">
              <w:rPr>
                <w:rFonts w:ascii="Calibri" w:eastAsia="Times New Roman" w:hAnsi="Calibri" w:cs="Calibri"/>
                <w:kern w:val="0"/>
                <w:lang w:val="en-IN" w:eastAsia="en-GB"/>
                <w14:ligatures w14:val="none"/>
              </w:rPr>
              <w:t xml:space="preserve">The </w:t>
            </w:r>
            <w:r w:rsidRPr="0015206C">
              <w:rPr>
                <w:rFonts w:ascii="Calibri" w:eastAsia="Times New Roman" w:hAnsi="Calibri" w:cs="Calibri"/>
                <w:i/>
                <w:iCs/>
                <w:kern w:val="0"/>
                <w:lang w:val="en-IN" w:eastAsia="en-GB"/>
                <w14:ligatures w14:val="none"/>
              </w:rPr>
              <w:t>Framework for Acceptance of Green Deposits</w:t>
            </w:r>
            <w:r w:rsidRPr="0015206C">
              <w:rPr>
                <w:rFonts w:ascii="Calibri" w:eastAsia="Times New Roman" w:hAnsi="Calibri" w:cs="Calibri"/>
                <w:kern w:val="0"/>
                <w:lang w:val="en-IN" w:eastAsia="en-GB"/>
                <w14:ligatures w14:val="none"/>
              </w:rPr>
              <w:t>, issued by the Reserve Bank of India, mandates REs to incorporate climate-related risk controls through the following mechanisms:</w:t>
            </w:r>
          </w:p>
          <w:p w14:paraId="4D72BB66" w14:textId="77777777" w:rsidR="0015206C" w:rsidRPr="0015206C" w:rsidRDefault="0015206C" w:rsidP="0015206C">
            <w:pPr>
              <w:numPr>
                <w:ilvl w:val="0"/>
                <w:numId w:val="61"/>
              </w:numPr>
              <w:tabs>
                <w:tab w:val="num" w:pos="720"/>
              </w:tabs>
              <w:jc w:val="both"/>
              <w:textAlignment w:val="baseline"/>
              <w:rPr>
                <w:rFonts w:ascii="Calibri" w:eastAsia="Times New Roman" w:hAnsi="Calibri" w:cs="Calibri"/>
                <w:kern w:val="0"/>
                <w:lang w:val="en-IN" w:eastAsia="en-GB"/>
                <w14:ligatures w14:val="none"/>
              </w:rPr>
            </w:pPr>
            <w:r w:rsidRPr="0015206C">
              <w:rPr>
                <w:rFonts w:ascii="Calibri" w:eastAsia="Times New Roman" w:hAnsi="Calibri" w:cs="Calibri"/>
                <w:kern w:val="0"/>
                <w:lang w:val="en-IN" w:eastAsia="en-GB"/>
                <w14:ligatures w14:val="none"/>
              </w:rPr>
              <w:t>Financing Framework: REs must adopt a Board-approved policy for project selection, fund allocation, and risk assessment of green-eligible activities [Para 5].</w:t>
            </w:r>
          </w:p>
          <w:p w14:paraId="458C27EC" w14:textId="77777777" w:rsidR="0015206C" w:rsidRPr="0015206C" w:rsidRDefault="0015206C" w:rsidP="0015206C">
            <w:pPr>
              <w:numPr>
                <w:ilvl w:val="0"/>
                <w:numId w:val="61"/>
              </w:numPr>
              <w:tabs>
                <w:tab w:val="num" w:pos="720"/>
              </w:tabs>
              <w:jc w:val="both"/>
              <w:textAlignment w:val="baseline"/>
              <w:rPr>
                <w:rFonts w:ascii="Calibri" w:eastAsia="Times New Roman" w:hAnsi="Calibri" w:cs="Calibri"/>
                <w:kern w:val="0"/>
                <w:lang w:val="en-IN" w:eastAsia="en-GB"/>
                <w14:ligatures w14:val="none"/>
              </w:rPr>
            </w:pPr>
            <w:r w:rsidRPr="0015206C">
              <w:rPr>
                <w:rFonts w:ascii="Calibri" w:eastAsia="Times New Roman" w:hAnsi="Calibri" w:cs="Calibri"/>
                <w:kern w:val="0"/>
                <w:lang w:val="en-IN" w:eastAsia="en-GB"/>
                <w14:ligatures w14:val="none"/>
              </w:rPr>
              <w:t>Greenwashing Prevention: REs are required to verify borrower sustainability claims to mitigate reputational and transition risks [Para 5(ii)].</w:t>
            </w:r>
          </w:p>
          <w:p w14:paraId="2CE469D8" w14:textId="77777777" w:rsidR="0015206C" w:rsidRPr="0015206C" w:rsidRDefault="0015206C" w:rsidP="0015206C">
            <w:pPr>
              <w:numPr>
                <w:ilvl w:val="0"/>
                <w:numId w:val="61"/>
              </w:numPr>
              <w:tabs>
                <w:tab w:val="num" w:pos="720"/>
              </w:tabs>
              <w:jc w:val="both"/>
              <w:textAlignment w:val="baseline"/>
              <w:rPr>
                <w:rFonts w:ascii="Calibri" w:eastAsia="Times New Roman" w:hAnsi="Calibri" w:cs="Calibri"/>
                <w:kern w:val="0"/>
                <w:lang w:val="en-IN" w:eastAsia="en-GB"/>
                <w14:ligatures w14:val="none"/>
              </w:rPr>
            </w:pPr>
            <w:r w:rsidRPr="0015206C">
              <w:rPr>
                <w:rFonts w:ascii="Calibri" w:eastAsia="Times New Roman" w:hAnsi="Calibri" w:cs="Calibri"/>
                <w:kern w:val="0"/>
                <w:lang w:val="en-IN" w:eastAsia="en-GB"/>
                <w14:ligatures w14:val="none"/>
              </w:rPr>
              <w:t>Third-Party Verification: Independent assurance must be obtained on use-of-proceeds and project screening, ensuring climate alignment and robust risk validation [Paras 8–9].</w:t>
            </w:r>
          </w:p>
          <w:p w14:paraId="51BD4687" w14:textId="77777777" w:rsidR="0015206C" w:rsidRPr="0015206C" w:rsidRDefault="0015206C" w:rsidP="0015206C">
            <w:pPr>
              <w:numPr>
                <w:ilvl w:val="0"/>
                <w:numId w:val="61"/>
              </w:numPr>
              <w:tabs>
                <w:tab w:val="num" w:pos="720"/>
              </w:tabs>
              <w:jc w:val="both"/>
              <w:textAlignment w:val="baseline"/>
              <w:rPr>
                <w:rFonts w:ascii="Calibri" w:eastAsia="Times New Roman" w:hAnsi="Calibri" w:cs="Calibri"/>
                <w:kern w:val="0"/>
                <w:lang w:val="en-IN" w:eastAsia="en-GB"/>
                <w14:ligatures w14:val="none"/>
              </w:rPr>
            </w:pPr>
            <w:r w:rsidRPr="0015206C">
              <w:rPr>
                <w:rFonts w:ascii="Calibri" w:eastAsia="Times New Roman" w:hAnsi="Calibri" w:cs="Calibri"/>
                <w:kern w:val="0"/>
                <w:lang w:val="en-IN" w:eastAsia="en-GB"/>
                <w14:ligatures w14:val="none"/>
              </w:rPr>
              <w:t>Impact Assessment: REs must annually evaluate environmental outcomes of financed projects to measure effectiveness and exposure to climate risks [Para 10].</w:t>
            </w:r>
          </w:p>
          <w:p w14:paraId="654798AF" w14:textId="77777777" w:rsidR="0015206C" w:rsidRPr="0015206C" w:rsidRDefault="0015206C" w:rsidP="0015206C">
            <w:pPr>
              <w:numPr>
                <w:ilvl w:val="0"/>
                <w:numId w:val="61"/>
              </w:numPr>
              <w:tabs>
                <w:tab w:val="num" w:pos="720"/>
              </w:tabs>
              <w:jc w:val="both"/>
              <w:textAlignment w:val="baseline"/>
              <w:rPr>
                <w:rFonts w:ascii="Calibri" w:eastAsia="Times New Roman" w:hAnsi="Calibri" w:cs="Calibri"/>
                <w:kern w:val="0"/>
                <w:lang w:val="en-IN" w:eastAsia="en-GB"/>
                <w14:ligatures w14:val="none"/>
              </w:rPr>
            </w:pPr>
            <w:r w:rsidRPr="0015206C">
              <w:rPr>
                <w:rFonts w:ascii="Calibri" w:eastAsia="Times New Roman" w:hAnsi="Calibri" w:cs="Calibri"/>
                <w:kern w:val="0"/>
                <w:lang w:val="en-IN" w:eastAsia="en-GB"/>
                <w14:ligatures w14:val="none"/>
              </w:rPr>
              <w:t>Disclosure and Governance: Annual Board-level review and public disclosures ensure transparency and accountability in managing climate-related financial exposure [Paras 11–12].</w:t>
            </w:r>
          </w:p>
          <w:p w14:paraId="39FC6AFA" w14:textId="644BAD78" w:rsidR="008C4722" w:rsidRPr="0015206C" w:rsidRDefault="008C4722" w:rsidP="003E5BC7">
            <w:pPr>
              <w:jc w:val="both"/>
              <w:textAlignment w:val="baseline"/>
              <w:rPr>
                <w:rFonts w:ascii="Calibri" w:eastAsia="Times New Roman" w:hAnsi="Calibri" w:cs="Calibri"/>
                <w:kern w:val="0"/>
                <w:lang w:val="en-IN"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5016159C" w:rsidR="008C4722" w:rsidRPr="00CF2E7C" w:rsidRDefault="00F079A1"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5C941CC5" w:rsidR="007B7DEE" w:rsidRPr="00CF2E7C" w:rsidRDefault="0050665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16535C61" w:rsidR="007B7DEE" w:rsidRPr="00CF2E7C" w:rsidRDefault="0050665A" w:rsidP="003E5BC7">
            <w:pPr>
              <w:jc w:val="both"/>
              <w:textAlignment w:val="baseline"/>
              <w:rPr>
                <w:rFonts w:ascii="Calibri" w:eastAsia="Times New Roman" w:hAnsi="Calibri" w:cs="Calibri"/>
                <w:kern w:val="0"/>
                <w:lang w:eastAsia="en-GB"/>
                <w14:ligatures w14:val="none"/>
              </w:rPr>
            </w:pPr>
            <w:r w:rsidRPr="0050665A">
              <w:rPr>
                <w:rFonts w:ascii="Calibri" w:eastAsia="Times New Roman" w:hAnsi="Calibri" w:cs="Calibri"/>
                <w:kern w:val="0"/>
                <w:lang w:eastAsia="en-GB"/>
                <w14:ligatures w14:val="none"/>
              </w:rPr>
              <w:t xml:space="preserve">The framework mandates that the allocation of proceeds from green deposits must comply with the </w:t>
            </w:r>
            <w:r w:rsidRPr="003E5BC7">
              <w:rPr>
                <w:rFonts w:ascii="Calibri" w:eastAsia="Times New Roman" w:hAnsi="Calibri" w:cs="Calibri"/>
                <w:kern w:val="0"/>
                <w:lang w:eastAsia="en-GB"/>
                <w14:ligatures w14:val="none"/>
              </w:rPr>
              <w:t>official Indian green taxonomy</w:t>
            </w:r>
            <w:r w:rsidRPr="0050665A">
              <w:rPr>
                <w:rFonts w:ascii="Calibri" w:eastAsia="Times New Roman" w:hAnsi="Calibri" w:cs="Calibri"/>
                <w:kern w:val="0"/>
                <w:lang w:eastAsia="en-GB"/>
                <w14:ligatures w14:val="none"/>
              </w:rPr>
              <w:t xml:space="preserve"> (once finalized). In the interim, a </w:t>
            </w:r>
            <w:r w:rsidRPr="003E5BC7">
              <w:rPr>
                <w:rFonts w:ascii="Calibri" w:eastAsia="Times New Roman" w:hAnsi="Calibri" w:cs="Calibri"/>
                <w:kern w:val="0"/>
                <w:lang w:eastAsia="en-GB"/>
                <w14:ligatures w14:val="none"/>
              </w:rPr>
              <w:t>prescribed list of eligible green activities/projects</w:t>
            </w:r>
            <w:r w:rsidRPr="0050665A">
              <w:rPr>
                <w:rFonts w:ascii="Calibri" w:eastAsia="Times New Roman" w:hAnsi="Calibri" w:cs="Calibri"/>
                <w:kern w:val="0"/>
                <w:lang w:eastAsia="en-GB"/>
                <w14:ligatures w14:val="none"/>
              </w:rPr>
              <w:t xml:space="preserve"> is adopted from the </w:t>
            </w:r>
            <w:r w:rsidRPr="003E5BC7">
              <w:rPr>
                <w:rFonts w:ascii="Calibri" w:eastAsia="Times New Roman" w:hAnsi="Calibri" w:cs="Calibri"/>
                <w:kern w:val="0"/>
                <w:lang w:eastAsia="en-GB"/>
                <w14:ligatures w14:val="none"/>
              </w:rPr>
              <w:t>Government of India’s Framework for Sovereign Green Bonds (November 2022)</w:t>
            </w:r>
            <w:r w:rsidRPr="0050665A">
              <w:rPr>
                <w:rFonts w:ascii="Calibri" w:eastAsia="Times New Roman" w:hAnsi="Calibri" w:cs="Calibri"/>
                <w:kern w:val="0"/>
                <w:lang w:eastAsia="en-GB"/>
                <w14:ligatures w14:val="none"/>
              </w:rPr>
              <w:t>. These include sectors such as renewable energy, clean transport, energy efficiency, sustainable agriculture, and biodiversity conservation.</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2A784FA1" w:rsidR="00ED7E12" w:rsidRPr="00CF2E7C" w:rsidRDefault="00AC0CF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4B9B211D" w:rsidR="00ED7E12" w:rsidRPr="00CF2E7C" w:rsidRDefault="00AC0CF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61396924" w:rsidR="00ED7E12" w:rsidRPr="00CF2E7C" w:rsidRDefault="00AC0CF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F99D06" w14:textId="2A9193EA" w:rsidR="007C1655" w:rsidRPr="003E5BC7" w:rsidRDefault="007C1655" w:rsidP="003E5BC7">
            <w:pPr>
              <w:pStyle w:val="ListParagraph"/>
              <w:numPr>
                <w:ilvl w:val="0"/>
                <w:numId w:val="53"/>
              </w:numPr>
              <w:jc w:val="both"/>
              <w:textAlignment w:val="baseline"/>
              <w:rPr>
                <w:rFonts w:ascii="Calibri" w:eastAsia="Times New Roman" w:hAnsi="Calibri" w:cs="Calibri"/>
                <w:kern w:val="0"/>
                <w:lang w:val="en-IN" w:eastAsia="en-GB"/>
                <w14:ligatures w14:val="none"/>
              </w:rPr>
            </w:pPr>
            <w:r w:rsidRPr="003E5BC7">
              <w:rPr>
                <w:rFonts w:ascii="Calibri" w:eastAsia="Times New Roman" w:hAnsi="Calibri" w:cs="Calibri"/>
                <w:kern w:val="0"/>
                <w:lang w:val="en-IN" w:eastAsia="en-GB"/>
                <w14:ligatures w14:val="none"/>
              </w:rPr>
              <w:t>Self-reporting: REs must place an annual Review Report before their Board covering green deposit mobilisation, fund allocation, and project details (Para 11);</w:t>
            </w:r>
          </w:p>
          <w:p w14:paraId="7A09D8FA" w14:textId="7B7B5480" w:rsidR="007C1655" w:rsidRPr="003E5BC7" w:rsidRDefault="007C1655" w:rsidP="003E5BC7">
            <w:pPr>
              <w:pStyle w:val="ListParagraph"/>
              <w:numPr>
                <w:ilvl w:val="0"/>
                <w:numId w:val="53"/>
              </w:numPr>
              <w:jc w:val="both"/>
              <w:textAlignment w:val="baseline"/>
              <w:rPr>
                <w:rFonts w:ascii="Calibri" w:eastAsia="Times New Roman" w:hAnsi="Calibri" w:cs="Calibri"/>
                <w:kern w:val="0"/>
                <w:lang w:val="en-IN" w:eastAsia="en-GB"/>
                <w14:ligatures w14:val="none"/>
              </w:rPr>
            </w:pPr>
            <w:r w:rsidRPr="003E5BC7">
              <w:rPr>
                <w:rFonts w:ascii="Calibri" w:eastAsia="Times New Roman" w:hAnsi="Calibri" w:cs="Calibri"/>
                <w:kern w:val="0"/>
                <w:lang w:val="en-IN" w:eastAsia="en-GB"/>
                <w14:ligatures w14:val="none"/>
              </w:rPr>
              <w:t>Third-party verification: An independent annual assessment of fund allocation and internal controls is required (Para 8–9);</w:t>
            </w:r>
          </w:p>
          <w:p w14:paraId="66D5DAF1" w14:textId="76958808" w:rsidR="007C1655" w:rsidRPr="003E5BC7" w:rsidRDefault="007C1655" w:rsidP="003E5BC7">
            <w:pPr>
              <w:pStyle w:val="ListParagraph"/>
              <w:numPr>
                <w:ilvl w:val="0"/>
                <w:numId w:val="53"/>
              </w:numPr>
              <w:jc w:val="both"/>
              <w:textAlignment w:val="baseline"/>
              <w:rPr>
                <w:rFonts w:ascii="Calibri" w:eastAsia="Times New Roman" w:hAnsi="Calibri" w:cs="Calibri"/>
                <w:kern w:val="0"/>
                <w:lang w:val="en-IN" w:eastAsia="en-GB"/>
                <w14:ligatures w14:val="none"/>
              </w:rPr>
            </w:pPr>
            <w:r w:rsidRPr="003E5BC7">
              <w:rPr>
                <w:rFonts w:ascii="Calibri" w:eastAsia="Times New Roman" w:hAnsi="Calibri" w:cs="Calibri"/>
                <w:kern w:val="0"/>
                <w:lang w:val="en-IN" w:eastAsia="en-GB"/>
                <w14:ligatures w14:val="none"/>
              </w:rPr>
              <w:t>Regulatory oversight: While not detailed in this framework, RBI retains supervisory powers under the Banking Regulation Act and RBI Act. REs are bound to follow applicable RBI circulars and master directions, and the framework is mandatory under RBI’s authority.</w:t>
            </w:r>
          </w:p>
          <w:p w14:paraId="42FF8A1B" w14:textId="0F2C737B" w:rsidR="00ED7E12" w:rsidRPr="00CF2E7C" w:rsidRDefault="00ED7E12" w:rsidP="003E5BC7">
            <w:pPr>
              <w:jc w:val="both"/>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25F2DD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D1827">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153C729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D1827">
              <w:rPr>
                <w:rFonts w:ascii="Calibri" w:eastAsia="Times New Roman" w:hAnsi="Calibri" w:cs="Calibri"/>
                <w:kern w:val="0"/>
                <w:lang w:eastAsia="en-GB"/>
                <w14:ligatures w14:val="none"/>
              </w:rPr>
              <w:t>X</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6CD0269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D1827">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6ACDABF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D1827">
              <w:rPr>
                <w:rFonts w:ascii="Calibri" w:eastAsia="Times New Roman" w:hAnsi="Calibri" w:cs="Calibri"/>
                <w:kern w:val="0"/>
                <w:lang w:eastAsia="en-GB"/>
                <w14:ligatures w14:val="none"/>
              </w:rPr>
              <w:t>X</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164F9AA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D1827">
              <w:rPr>
                <w:rFonts w:ascii="Calibri" w:eastAsia="Times New Roman" w:hAnsi="Calibri" w:cs="Calibri"/>
                <w:kern w:val="0"/>
                <w:lang w:eastAsia="en-GB"/>
                <w14:ligatures w14:val="none"/>
              </w:rPr>
              <w:t>X</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02B2A5C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0D1827">
              <w:rPr>
                <w:rFonts w:ascii="Calibri" w:eastAsia="Times New Roman" w:hAnsi="Calibri" w:cs="Calibri"/>
                <w:kern w:val="0"/>
                <w:lang w:eastAsia="en-GB"/>
                <w14:ligatures w14:val="none"/>
              </w:rPr>
              <w:t>X</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7CB53B44" w:rsidR="00C82860" w:rsidRPr="00CF2E7C" w:rsidRDefault="00732466"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68871B14" w14:textId="77777777" w:rsidR="00702337" w:rsidRPr="00702337" w:rsidRDefault="00702337" w:rsidP="00702337">
            <w:pPr>
              <w:textAlignment w:val="baseline"/>
              <w:rPr>
                <w:rFonts w:ascii="Calibri" w:eastAsia="Times New Roman" w:hAnsi="Calibri" w:cs="Calibri"/>
                <w:kern w:val="0"/>
                <w:lang w:val="en-IN" w:eastAsia="en-GB"/>
                <w14:ligatures w14:val="none"/>
              </w:rPr>
            </w:pPr>
            <w:r w:rsidRPr="00702337">
              <w:rPr>
                <w:rFonts w:ascii="Calibri" w:eastAsia="Times New Roman" w:hAnsi="Calibri" w:cs="Calibri"/>
                <w:kern w:val="0"/>
                <w:lang w:val="en-IN" w:eastAsia="en-GB"/>
                <w14:ligatures w14:val="none"/>
              </w:rPr>
              <w:t xml:space="preserve">The policy </w:t>
            </w:r>
            <w:r w:rsidRPr="003E5BC7">
              <w:rPr>
                <w:rFonts w:ascii="Calibri" w:eastAsia="Times New Roman" w:hAnsi="Calibri" w:cs="Calibri"/>
                <w:kern w:val="0"/>
                <w:lang w:val="en-IN" w:eastAsia="en-GB"/>
                <w14:ligatures w14:val="none"/>
              </w:rPr>
              <w:t>requires regulated entities to disclose</w:t>
            </w:r>
            <w:r w:rsidRPr="00702337">
              <w:rPr>
                <w:rFonts w:ascii="Calibri" w:eastAsia="Times New Roman" w:hAnsi="Calibri" w:cs="Calibri"/>
                <w:kern w:val="0"/>
                <w:lang w:val="en-IN" w:eastAsia="en-GB"/>
                <w14:ligatures w14:val="none"/>
              </w:rPr>
              <w:t>:</w:t>
            </w:r>
          </w:p>
          <w:p w14:paraId="2226B5BE" w14:textId="77777777" w:rsidR="00702337" w:rsidRPr="00702337" w:rsidRDefault="00702337" w:rsidP="00702337">
            <w:pPr>
              <w:numPr>
                <w:ilvl w:val="0"/>
                <w:numId w:val="55"/>
              </w:numPr>
              <w:textAlignment w:val="baseline"/>
              <w:rPr>
                <w:rFonts w:ascii="Calibri" w:eastAsia="Times New Roman" w:hAnsi="Calibri" w:cs="Calibri"/>
                <w:kern w:val="0"/>
                <w:lang w:val="en-IN" w:eastAsia="en-GB"/>
                <w14:ligatures w14:val="none"/>
              </w:rPr>
            </w:pPr>
            <w:r w:rsidRPr="00702337">
              <w:rPr>
                <w:rFonts w:ascii="Calibri" w:eastAsia="Times New Roman" w:hAnsi="Calibri" w:cs="Calibri"/>
                <w:kern w:val="0"/>
                <w:lang w:val="en-IN" w:eastAsia="en-GB"/>
                <w14:ligatures w14:val="none"/>
              </w:rPr>
              <w:t xml:space="preserve">A copy of the </w:t>
            </w:r>
            <w:r w:rsidRPr="003E5BC7">
              <w:rPr>
                <w:rFonts w:ascii="Calibri" w:eastAsia="Times New Roman" w:hAnsi="Calibri" w:cs="Calibri"/>
                <w:kern w:val="0"/>
                <w:lang w:val="en-IN" w:eastAsia="en-GB"/>
                <w14:ligatures w14:val="none"/>
              </w:rPr>
              <w:t>Green Deposit Policy</w:t>
            </w:r>
            <w:r w:rsidRPr="00702337">
              <w:rPr>
                <w:rFonts w:ascii="Calibri" w:eastAsia="Times New Roman" w:hAnsi="Calibri" w:cs="Calibri"/>
                <w:kern w:val="0"/>
                <w:lang w:val="en-IN" w:eastAsia="en-GB"/>
                <w14:ligatures w14:val="none"/>
              </w:rPr>
              <w:t xml:space="preserve"> and </w:t>
            </w:r>
            <w:r w:rsidRPr="003E5BC7">
              <w:rPr>
                <w:rFonts w:ascii="Calibri" w:eastAsia="Times New Roman" w:hAnsi="Calibri" w:cs="Calibri"/>
                <w:kern w:val="0"/>
                <w:lang w:val="en-IN" w:eastAsia="en-GB"/>
                <w14:ligatures w14:val="none"/>
              </w:rPr>
              <w:t>Financing Framework</w:t>
            </w:r>
            <w:r w:rsidRPr="00702337">
              <w:rPr>
                <w:rFonts w:ascii="Calibri" w:eastAsia="Times New Roman" w:hAnsi="Calibri" w:cs="Calibri"/>
                <w:kern w:val="0"/>
                <w:lang w:val="en-IN" w:eastAsia="en-GB"/>
                <w14:ligatures w14:val="none"/>
              </w:rPr>
              <w:t xml:space="preserve"> on their website (Para 4, 6);</w:t>
            </w:r>
          </w:p>
          <w:p w14:paraId="42170DF1" w14:textId="77777777" w:rsidR="00702337" w:rsidRPr="00702337" w:rsidRDefault="00702337" w:rsidP="00702337">
            <w:pPr>
              <w:numPr>
                <w:ilvl w:val="0"/>
                <w:numId w:val="55"/>
              </w:numPr>
              <w:textAlignment w:val="baseline"/>
              <w:rPr>
                <w:rFonts w:ascii="Calibri" w:eastAsia="Times New Roman" w:hAnsi="Calibri" w:cs="Calibri"/>
                <w:kern w:val="0"/>
                <w:lang w:val="en-IN" w:eastAsia="en-GB"/>
                <w14:ligatures w14:val="none"/>
              </w:rPr>
            </w:pPr>
            <w:r w:rsidRPr="00702337">
              <w:rPr>
                <w:rFonts w:ascii="Calibri" w:eastAsia="Times New Roman" w:hAnsi="Calibri" w:cs="Calibri"/>
                <w:kern w:val="0"/>
                <w:lang w:val="en-IN" w:eastAsia="en-GB"/>
                <w14:ligatures w14:val="none"/>
              </w:rPr>
              <w:t xml:space="preserve">Results of </w:t>
            </w:r>
            <w:r w:rsidRPr="003E5BC7">
              <w:rPr>
                <w:rFonts w:ascii="Calibri" w:eastAsia="Times New Roman" w:hAnsi="Calibri" w:cs="Calibri"/>
                <w:kern w:val="0"/>
                <w:lang w:val="en-IN" w:eastAsia="en-GB"/>
                <w14:ligatures w14:val="none"/>
              </w:rPr>
              <w:t>Third-Party Verification</w:t>
            </w:r>
            <w:r w:rsidRPr="00702337">
              <w:rPr>
                <w:rFonts w:ascii="Calibri" w:eastAsia="Times New Roman" w:hAnsi="Calibri" w:cs="Calibri"/>
                <w:kern w:val="0"/>
                <w:lang w:val="en-IN" w:eastAsia="en-GB"/>
                <w14:ligatures w14:val="none"/>
              </w:rPr>
              <w:t xml:space="preserve"> and </w:t>
            </w:r>
            <w:r w:rsidRPr="003E5BC7">
              <w:rPr>
                <w:rFonts w:ascii="Calibri" w:eastAsia="Times New Roman" w:hAnsi="Calibri" w:cs="Calibri"/>
                <w:kern w:val="0"/>
                <w:lang w:val="en-IN" w:eastAsia="en-GB"/>
                <w14:ligatures w14:val="none"/>
              </w:rPr>
              <w:t>Impact Assessment</w:t>
            </w:r>
            <w:r w:rsidRPr="00702337">
              <w:rPr>
                <w:rFonts w:ascii="Calibri" w:eastAsia="Times New Roman" w:hAnsi="Calibri" w:cs="Calibri"/>
                <w:kern w:val="0"/>
                <w:lang w:val="en-IN" w:eastAsia="en-GB"/>
                <w14:ligatures w14:val="none"/>
              </w:rPr>
              <w:t xml:space="preserve"> on their website (Para 10);</w:t>
            </w:r>
          </w:p>
          <w:p w14:paraId="097EC12D" w14:textId="77777777" w:rsidR="00702337" w:rsidRPr="00702337" w:rsidRDefault="00702337" w:rsidP="00702337">
            <w:pPr>
              <w:numPr>
                <w:ilvl w:val="0"/>
                <w:numId w:val="55"/>
              </w:numPr>
              <w:textAlignment w:val="baseline"/>
              <w:rPr>
                <w:rFonts w:ascii="Calibri" w:eastAsia="Times New Roman" w:hAnsi="Calibri" w:cs="Calibri"/>
                <w:kern w:val="0"/>
                <w:lang w:val="en-IN" w:eastAsia="en-GB"/>
                <w14:ligatures w14:val="none"/>
              </w:rPr>
            </w:pPr>
            <w:r w:rsidRPr="003E5BC7">
              <w:rPr>
                <w:rFonts w:ascii="Calibri" w:eastAsia="Times New Roman" w:hAnsi="Calibri" w:cs="Calibri"/>
                <w:kern w:val="0"/>
                <w:lang w:val="en-IN" w:eastAsia="en-GB"/>
                <w14:ligatures w14:val="none"/>
              </w:rPr>
              <w:t>Annual Board Report</w:t>
            </w:r>
            <w:r w:rsidRPr="00702337">
              <w:rPr>
                <w:rFonts w:ascii="Calibri" w:eastAsia="Times New Roman" w:hAnsi="Calibri" w:cs="Calibri"/>
                <w:kern w:val="0"/>
                <w:lang w:val="en-IN" w:eastAsia="en-GB"/>
                <w14:ligatures w14:val="none"/>
              </w:rPr>
              <w:t xml:space="preserve"> on fund use, project allocation, and assurance results (Para 11);</w:t>
            </w:r>
          </w:p>
          <w:p w14:paraId="5EC5A108" w14:textId="77777777" w:rsidR="00702337" w:rsidRPr="00702337" w:rsidRDefault="00702337" w:rsidP="00702337">
            <w:pPr>
              <w:numPr>
                <w:ilvl w:val="0"/>
                <w:numId w:val="55"/>
              </w:numPr>
              <w:textAlignment w:val="baseline"/>
              <w:rPr>
                <w:rFonts w:ascii="Calibri" w:eastAsia="Times New Roman" w:hAnsi="Calibri" w:cs="Calibri"/>
                <w:kern w:val="0"/>
                <w:lang w:val="en-IN" w:eastAsia="en-GB"/>
                <w14:ligatures w14:val="none"/>
              </w:rPr>
            </w:pPr>
            <w:r w:rsidRPr="003E5BC7">
              <w:rPr>
                <w:rFonts w:ascii="Calibri" w:eastAsia="Times New Roman" w:hAnsi="Calibri" w:cs="Calibri"/>
                <w:kern w:val="0"/>
                <w:lang w:val="en-IN" w:eastAsia="en-GB"/>
                <w14:ligatures w14:val="none"/>
              </w:rPr>
              <w:t>Annual disclosures</w:t>
            </w:r>
            <w:r w:rsidRPr="00702337">
              <w:rPr>
                <w:rFonts w:ascii="Calibri" w:eastAsia="Times New Roman" w:hAnsi="Calibri" w:cs="Calibri"/>
                <w:kern w:val="0"/>
                <w:lang w:val="en-IN" w:eastAsia="en-GB"/>
                <w14:ligatures w14:val="none"/>
              </w:rPr>
              <w:t xml:space="preserve"> in financial statements with portfolio-level information (Para 12 and Annex 2).</w:t>
            </w:r>
          </w:p>
          <w:p w14:paraId="5EBF86E5" w14:textId="493AB0DD" w:rsidR="00702337" w:rsidRPr="00702337" w:rsidRDefault="00702337" w:rsidP="00702337">
            <w:pPr>
              <w:textAlignment w:val="baseline"/>
              <w:rPr>
                <w:rFonts w:ascii="Calibri" w:eastAsia="Times New Roman" w:hAnsi="Calibri" w:cs="Calibri"/>
                <w:kern w:val="0"/>
                <w:lang w:val="en-IN" w:eastAsia="en-GB"/>
                <w14:ligatures w14:val="none"/>
              </w:rPr>
            </w:pPr>
            <w:r w:rsidRPr="00702337">
              <w:rPr>
                <w:rFonts w:ascii="Calibri" w:eastAsia="Times New Roman" w:hAnsi="Calibri" w:cs="Calibri"/>
                <w:kern w:val="0"/>
                <w:lang w:val="en-IN" w:eastAsia="en-GB"/>
                <w14:ligatures w14:val="none"/>
              </w:rPr>
              <w:t xml:space="preserve">There are </w:t>
            </w:r>
            <w:r w:rsidRPr="003E5BC7">
              <w:rPr>
                <w:rFonts w:ascii="Calibri" w:eastAsia="Times New Roman" w:hAnsi="Calibri" w:cs="Calibri"/>
                <w:kern w:val="0"/>
                <w:lang w:val="en-IN" w:eastAsia="en-GB"/>
                <w14:ligatures w14:val="none"/>
              </w:rPr>
              <w:t>no entity-based thresholds</w:t>
            </w:r>
            <w:r w:rsidRPr="00702337">
              <w:rPr>
                <w:rFonts w:ascii="Calibri" w:eastAsia="Times New Roman" w:hAnsi="Calibri" w:cs="Calibri"/>
                <w:kern w:val="0"/>
                <w:lang w:val="en-IN" w:eastAsia="en-GB"/>
                <w14:ligatures w14:val="none"/>
              </w:rPr>
              <w:t xml:space="preserve"> for variation</w:t>
            </w:r>
            <w:r>
              <w:rPr>
                <w:rFonts w:ascii="Calibri" w:eastAsia="Times New Roman" w:hAnsi="Calibri" w:cs="Calibri"/>
                <w:kern w:val="0"/>
                <w:lang w:val="en-IN" w:eastAsia="en-GB"/>
                <w14:ligatures w14:val="none"/>
              </w:rPr>
              <w:t xml:space="preserve">. </w:t>
            </w:r>
            <w:r w:rsidR="00B869DD">
              <w:rPr>
                <w:rFonts w:ascii="Calibri" w:eastAsia="Times New Roman" w:hAnsi="Calibri" w:cs="Calibri"/>
                <w:kern w:val="0"/>
                <w:lang w:val="en-IN" w:eastAsia="en-GB"/>
                <w14:ligatures w14:val="none"/>
              </w:rPr>
              <w:t>A</w:t>
            </w:r>
            <w:r w:rsidRPr="00702337">
              <w:rPr>
                <w:rFonts w:ascii="Calibri" w:eastAsia="Times New Roman" w:hAnsi="Calibri" w:cs="Calibri"/>
                <w:kern w:val="0"/>
                <w:lang w:val="en-IN" w:eastAsia="en-GB"/>
                <w14:ligatures w14:val="none"/>
              </w:rPr>
              <w:t>ll REs under the Framework are subject to the same disclosure obligations.</w:t>
            </w:r>
          </w:p>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4C9EA96B" w:rsidR="00C82860" w:rsidRPr="00CF2E7C" w:rsidRDefault="00B869DD"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37B1BBA" w14:textId="192A6575" w:rsidR="00FD7C83" w:rsidRPr="00FD7C83" w:rsidRDefault="00FD7C83" w:rsidP="003E5BC7">
            <w:pPr>
              <w:jc w:val="both"/>
              <w:textAlignment w:val="baseline"/>
              <w:rPr>
                <w:rFonts w:ascii="Calibri" w:eastAsia="Times New Roman" w:hAnsi="Calibri" w:cs="Calibri"/>
                <w:kern w:val="0"/>
                <w:lang w:eastAsia="en-GB"/>
                <w14:ligatures w14:val="none"/>
              </w:rPr>
            </w:pPr>
            <w:r w:rsidRPr="00FD7C83">
              <w:rPr>
                <w:rFonts w:ascii="Calibri" w:eastAsia="Times New Roman" w:hAnsi="Calibri" w:cs="Calibri"/>
                <w:kern w:val="0"/>
                <w:lang w:eastAsia="en-GB"/>
                <w14:ligatures w14:val="none"/>
              </w:rPr>
              <w:t>Paragraph 5(ii) mandates that the RE’s Financing Framework must include:</w:t>
            </w:r>
          </w:p>
          <w:p w14:paraId="675F7C8A" w14:textId="3D01AE10" w:rsidR="00FD7C83" w:rsidRPr="00FD7C83" w:rsidRDefault="00FD7C83" w:rsidP="003E5BC7">
            <w:pPr>
              <w:ind w:left="720"/>
              <w:jc w:val="both"/>
              <w:textAlignment w:val="baseline"/>
              <w:rPr>
                <w:rFonts w:ascii="Calibri" w:eastAsia="Times New Roman" w:hAnsi="Calibri" w:cs="Calibri"/>
                <w:kern w:val="0"/>
                <w:lang w:eastAsia="en-GB"/>
                <w14:ligatures w14:val="none"/>
              </w:rPr>
            </w:pPr>
            <w:r w:rsidRPr="00FD7C83">
              <w:rPr>
                <w:rFonts w:ascii="Calibri" w:eastAsia="Times New Roman" w:hAnsi="Calibri" w:cs="Calibri"/>
                <w:kern w:val="0"/>
                <w:lang w:eastAsia="en-GB"/>
                <w14:ligatures w14:val="none"/>
              </w:rPr>
              <w:t>“The process for project evaluation and selection... including identifying the projects fit for lending/investing within the eligible categories, monitoring and validating the sustainability information provided by the borrower.”</w:t>
            </w:r>
          </w:p>
          <w:p w14:paraId="5464A3A5" w14:textId="5539AA00" w:rsidR="00C82860" w:rsidRPr="00CF2E7C" w:rsidRDefault="00FD7C83" w:rsidP="003E5BC7">
            <w:pPr>
              <w:jc w:val="both"/>
              <w:textAlignment w:val="baseline"/>
              <w:rPr>
                <w:rFonts w:ascii="Calibri" w:eastAsia="Times New Roman" w:hAnsi="Calibri" w:cs="Calibri"/>
                <w:kern w:val="0"/>
                <w:lang w:eastAsia="en-GB"/>
                <w14:ligatures w14:val="none"/>
              </w:rPr>
            </w:pPr>
            <w:r w:rsidRPr="00FD7C83">
              <w:rPr>
                <w:rFonts w:ascii="Calibri" w:eastAsia="Times New Roman" w:hAnsi="Calibri" w:cs="Calibri"/>
                <w:kern w:val="0"/>
                <w:lang w:eastAsia="en-GB"/>
                <w14:ligatures w14:val="none"/>
              </w:rPr>
              <w:t>This implies climate-risk assessment is embedded into the due diligence for lending/investment decisions under green deposits.</w:t>
            </w: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3856E7F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D7C83">
              <w:rPr>
                <w:rFonts w:ascii="Calibri" w:eastAsia="Times New Roman" w:hAnsi="Calibri" w:cs="Calibri"/>
                <w:kern w:val="0"/>
                <w:lang w:val="en-SG" w:eastAsia="en-GB"/>
                <w14:ligatures w14:val="none"/>
              </w:rPr>
              <w:t>X</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1601771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D7C83">
              <w:rPr>
                <w:rFonts w:ascii="Calibri" w:eastAsia="Times New Roman" w:hAnsi="Calibri" w:cs="Calibri"/>
                <w:kern w:val="0"/>
                <w:lang w:val="en-SG" w:eastAsia="en-GB"/>
                <w14:ligatures w14:val="none"/>
              </w:rPr>
              <w:t>X</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0E7BFDA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D7C83">
              <w:rPr>
                <w:rFonts w:ascii="Calibri" w:eastAsia="Times New Roman" w:hAnsi="Calibri" w:cs="Calibri"/>
                <w:kern w:val="0"/>
                <w:lang w:val="en-SG" w:eastAsia="en-GB"/>
                <w14:ligatures w14:val="none"/>
              </w:rPr>
              <w:t>X</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422905B0"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00FD7C83">
              <w:rPr>
                <w:rFonts w:ascii="Calibri" w:eastAsia="Times New Roman" w:hAnsi="Calibri" w:cs="Calibri"/>
                <w:kern w:val="0"/>
                <w:lang w:val="en-SG" w:eastAsia="en-GB"/>
                <w14:ligatures w14:val="none"/>
              </w:rPr>
              <w:t>X</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ACAB777" w14:textId="77777777" w:rsidR="00E81C31" w:rsidRPr="00E81C31" w:rsidRDefault="00E81C31" w:rsidP="00E81C31">
            <w:pPr>
              <w:textAlignment w:val="baseline"/>
              <w:rPr>
                <w:rFonts w:ascii="Calibri" w:eastAsia="Times New Roman" w:hAnsi="Calibri" w:cs="Calibri"/>
                <w:kern w:val="0"/>
                <w:lang w:val="en-IN" w:eastAsia="en-GB"/>
                <w14:ligatures w14:val="none"/>
              </w:rPr>
            </w:pPr>
            <w:r w:rsidRPr="00E81C31">
              <w:rPr>
                <w:rFonts w:ascii="Calibri" w:eastAsia="Times New Roman" w:hAnsi="Calibri" w:cs="Calibri"/>
                <w:kern w:val="0"/>
                <w:lang w:val="en-IN" w:eastAsia="en-GB"/>
                <w14:ligatures w14:val="none"/>
              </w:rPr>
              <w:t xml:space="preserve">The framework provides an </w:t>
            </w:r>
            <w:r w:rsidRPr="003E5BC7">
              <w:rPr>
                <w:rFonts w:ascii="Calibri" w:eastAsia="Times New Roman" w:hAnsi="Calibri" w:cs="Calibri"/>
                <w:kern w:val="0"/>
                <w:lang w:val="en-IN" w:eastAsia="en-GB"/>
                <w14:ligatures w14:val="none"/>
              </w:rPr>
              <w:t>illustrative list of impact indicators</w:t>
            </w:r>
            <w:r w:rsidRPr="00E81C31">
              <w:rPr>
                <w:rFonts w:ascii="Calibri" w:eastAsia="Times New Roman" w:hAnsi="Calibri" w:cs="Calibri"/>
                <w:kern w:val="0"/>
                <w:lang w:val="en-IN" w:eastAsia="en-GB"/>
                <w14:ligatures w14:val="none"/>
              </w:rPr>
              <w:t xml:space="preserve"> (Annex 1), such as:</w:t>
            </w:r>
          </w:p>
          <w:p w14:paraId="3DED29C5" w14:textId="77777777" w:rsidR="00E81C31" w:rsidRPr="00E81C31" w:rsidRDefault="00E81C31" w:rsidP="00E81C31">
            <w:pPr>
              <w:numPr>
                <w:ilvl w:val="0"/>
                <w:numId w:val="56"/>
              </w:numPr>
              <w:textAlignment w:val="baseline"/>
              <w:rPr>
                <w:rFonts w:ascii="Calibri" w:eastAsia="Times New Roman" w:hAnsi="Calibri" w:cs="Calibri"/>
                <w:kern w:val="0"/>
                <w:lang w:val="en-IN" w:eastAsia="en-GB"/>
                <w14:ligatures w14:val="none"/>
              </w:rPr>
            </w:pPr>
            <w:r w:rsidRPr="00E81C31">
              <w:rPr>
                <w:rFonts w:ascii="Calibri" w:eastAsia="Times New Roman" w:hAnsi="Calibri" w:cs="Calibri"/>
                <w:kern w:val="0"/>
                <w:lang w:val="en-IN" w:eastAsia="en-GB"/>
                <w14:ligatures w14:val="none"/>
              </w:rPr>
              <w:t>GHG emissions avoided (in tCO₂e),</w:t>
            </w:r>
          </w:p>
          <w:p w14:paraId="4E6846BA" w14:textId="77777777" w:rsidR="00E81C31" w:rsidRPr="00E81C31" w:rsidRDefault="00E81C31" w:rsidP="00E81C31">
            <w:pPr>
              <w:numPr>
                <w:ilvl w:val="0"/>
                <w:numId w:val="56"/>
              </w:numPr>
              <w:textAlignment w:val="baseline"/>
              <w:rPr>
                <w:rFonts w:ascii="Calibri" w:eastAsia="Times New Roman" w:hAnsi="Calibri" w:cs="Calibri"/>
                <w:kern w:val="0"/>
                <w:lang w:val="en-IN" w:eastAsia="en-GB"/>
                <w14:ligatures w14:val="none"/>
              </w:rPr>
            </w:pPr>
            <w:r w:rsidRPr="00E81C31">
              <w:rPr>
                <w:rFonts w:ascii="Calibri" w:eastAsia="Times New Roman" w:hAnsi="Calibri" w:cs="Calibri"/>
                <w:kern w:val="0"/>
                <w:lang w:val="en-IN" w:eastAsia="en-GB"/>
                <w14:ligatures w14:val="none"/>
              </w:rPr>
              <w:t>Energy savings (MWh),</w:t>
            </w:r>
          </w:p>
          <w:p w14:paraId="116E3772" w14:textId="77777777" w:rsidR="00E81C31" w:rsidRPr="00E81C31" w:rsidRDefault="00E81C31" w:rsidP="00E81C31">
            <w:pPr>
              <w:numPr>
                <w:ilvl w:val="0"/>
                <w:numId w:val="56"/>
              </w:numPr>
              <w:textAlignment w:val="baseline"/>
              <w:rPr>
                <w:rFonts w:ascii="Calibri" w:eastAsia="Times New Roman" w:hAnsi="Calibri" w:cs="Calibri"/>
                <w:kern w:val="0"/>
                <w:lang w:val="en-IN" w:eastAsia="en-GB"/>
                <w14:ligatures w14:val="none"/>
              </w:rPr>
            </w:pPr>
            <w:r w:rsidRPr="00E81C31">
              <w:rPr>
                <w:rFonts w:ascii="Calibri" w:eastAsia="Times New Roman" w:hAnsi="Calibri" w:cs="Calibri"/>
                <w:kern w:val="0"/>
                <w:lang w:val="en-IN" w:eastAsia="en-GB"/>
                <w14:ligatures w14:val="none"/>
              </w:rPr>
              <w:t>Waste diverted from landfill,</w:t>
            </w:r>
          </w:p>
          <w:p w14:paraId="4C51DD24" w14:textId="77777777" w:rsidR="00E81C31" w:rsidRPr="00E81C31" w:rsidRDefault="00E81C31" w:rsidP="00E81C31">
            <w:pPr>
              <w:numPr>
                <w:ilvl w:val="0"/>
                <w:numId w:val="56"/>
              </w:numPr>
              <w:textAlignment w:val="baseline"/>
              <w:rPr>
                <w:rFonts w:ascii="Calibri" w:eastAsia="Times New Roman" w:hAnsi="Calibri" w:cs="Calibri"/>
                <w:kern w:val="0"/>
                <w:lang w:val="en-IN" w:eastAsia="en-GB"/>
                <w14:ligatures w14:val="none"/>
              </w:rPr>
            </w:pPr>
            <w:r w:rsidRPr="00E81C31">
              <w:rPr>
                <w:rFonts w:ascii="Calibri" w:eastAsia="Times New Roman" w:hAnsi="Calibri" w:cs="Calibri"/>
                <w:kern w:val="0"/>
                <w:lang w:val="en-IN" w:eastAsia="en-GB"/>
                <w14:ligatures w14:val="none"/>
              </w:rPr>
              <w:t>Reforestation/afforestation impact.</w:t>
            </w:r>
          </w:p>
          <w:p w14:paraId="7B9D87EA" w14:textId="77777777" w:rsidR="00E81C31" w:rsidRPr="00E81C31" w:rsidRDefault="00E81C31" w:rsidP="00E81C31">
            <w:pPr>
              <w:textAlignment w:val="baseline"/>
              <w:rPr>
                <w:rFonts w:ascii="Calibri" w:eastAsia="Times New Roman" w:hAnsi="Calibri" w:cs="Calibri"/>
                <w:kern w:val="0"/>
                <w:lang w:val="en-IN" w:eastAsia="en-GB"/>
                <w14:ligatures w14:val="none"/>
              </w:rPr>
            </w:pPr>
            <w:r w:rsidRPr="00E81C31">
              <w:rPr>
                <w:rFonts w:ascii="Calibri" w:eastAsia="Times New Roman" w:hAnsi="Calibri" w:cs="Calibri"/>
                <w:kern w:val="0"/>
                <w:lang w:val="en-IN" w:eastAsia="en-GB"/>
                <w14:ligatures w14:val="none"/>
              </w:rPr>
              <w:t xml:space="preserve">These are </w:t>
            </w:r>
            <w:r w:rsidRPr="003E5BC7">
              <w:rPr>
                <w:rFonts w:ascii="Calibri" w:eastAsia="Times New Roman" w:hAnsi="Calibri" w:cs="Calibri"/>
                <w:kern w:val="0"/>
                <w:lang w:val="en-IN" w:eastAsia="en-GB"/>
                <w14:ligatures w14:val="none"/>
              </w:rPr>
              <w:t>project-level impact metrics</w:t>
            </w:r>
            <w:r w:rsidRPr="00E81C31">
              <w:rPr>
                <w:rFonts w:ascii="Calibri" w:eastAsia="Times New Roman" w:hAnsi="Calibri" w:cs="Calibri"/>
                <w:kern w:val="0"/>
                <w:lang w:val="en-IN" w:eastAsia="en-GB"/>
                <w14:ligatures w14:val="none"/>
              </w:rPr>
              <w:t>, not portfolio-wide climate risk exposure metrics.</w:t>
            </w:r>
          </w:p>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0E52F2E7" w:rsidR="00702413" w:rsidRPr="009C4D10" w:rsidRDefault="005D3CF8" w:rsidP="003E5BC7">
            <w:pPr>
              <w:jc w:val="both"/>
              <w:textAlignment w:val="baseline"/>
              <w:rPr>
                <w:rFonts w:eastAsia="Times New Roman" w:cstheme="minorHAnsi"/>
                <w:kern w:val="0"/>
                <w:lang w:eastAsia="en-GB"/>
                <w14:ligatures w14:val="none"/>
              </w:rPr>
            </w:pPr>
            <w:r w:rsidRPr="005D3CF8">
              <w:rPr>
                <w:rFonts w:eastAsia="Times New Roman" w:cstheme="minorHAnsi"/>
                <w:kern w:val="0"/>
                <w:lang w:eastAsia="en-GB"/>
                <w14:ligatures w14:val="none"/>
              </w:rPr>
              <w:t xml:space="preserve">Yes. One additional aspect is the </w:t>
            </w:r>
            <w:r w:rsidRPr="003E5BC7">
              <w:rPr>
                <w:rFonts w:eastAsia="Times New Roman" w:cstheme="minorHAnsi"/>
                <w:kern w:val="0"/>
                <w:lang w:eastAsia="en-GB"/>
                <w14:ligatures w14:val="none"/>
              </w:rPr>
              <w:t>mandatory third-party verification</w:t>
            </w:r>
            <w:r w:rsidRPr="005D3CF8">
              <w:rPr>
                <w:rFonts w:eastAsia="Times New Roman" w:cstheme="minorHAnsi"/>
                <w:kern w:val="0"/>
                <w:lang w:eastAsia="en-GB"/>
                <w14:ligatures w14:val="none"/>
              </w:rPr>
              <w:t xml:space="preserve"> and </w:t>
            </w:r>
            <w:r w:rsidRPr="003E5BC7">
              <w:rPr>
                <w:rFonts w:eastAsia="Times New Roman" w:cstheme="minorHAnsi"/>
                <w:kern w:val="0"/>
                <w:lang w:eastAsia="en-GB"/>
                <w14:ligatures w14:val="none"/>
              </w:rPr>
              <w:t>impact assessment</w:t>
            </w:r>
            <w:r w:rsidRPr="005D3CF8">
              <w:rPr>
                <w:rFonts w:eastAsia="Times New Roman" w:cstheme="minorHAnsi"/>
                <w:kern w:val="0"/>
                <w:lang w:eastAsia="en-GB"/>
                <w14:ligatures w14:val="none"/>
              </w:rPr>
              <w:t xml:space="preserve"> (from FY 2024–25 onwards), which introduces an </w:t>
            </w:r>
            <w:r w:rsidRPr="003E5BC7">
              <w:rPr>
                <w:rFonts w:eastAsia="Times New Roman" w:cstheme="minorHAnsi"/>
                <w:kern w:val="0"/>
                <w:lang w:eastAsia="en-GB"/>
                <w14:ligatures w14:val="none"/>
              </w:rPr>
              <w:t>external assurance mechanism</w:t>
            </w:r>
            <w:r w:rsidRPr="005D3CF8">
              <w:rPr>
                <w:rFonts w:eastAsia="Times New Roman" w:cstheme="minorHAnsi"/>
                <w:kern w:val="0"/>
                <w:lang w:eastAsia="en-GB"/>
                <w14:ligatures w14:val="none"/>
              </w:rPr>
              <w:t xml:space="preserve"> for green deposit usage and its environmental outcomes</w:t>
            </w:r>
            <w:r>
              <w:rPr>
                <w:rFonts w:eastAsia="Times New Roman" w:cstheme="minorHAnsi"/>
                <w:kern w:val="0"/>
                <w:lang w:eastAsia="en-GB"/>
                <w14:ligatures w14:val="none"/>
              </w:rPr>
              <w:t xml:space="preserve">, </w:t>
            </w:r>
            <w:r w:rsidRPr="005D3CF8">
              <w:rPr>
                <w:rFonts w:eastAsia="Times New Roman" w:cstheme="minorHAnsi"/>
                <w:kern w:val="0"/>
                <w:lang w:eastAsia="en-GB"/>
                <w14:ligatures w14:val="none"/>
              </w:rPr>
              <w:t>a unique feature not found in traditional prudential tools. These obligations improve transparency and climate accountability.</w:t>
            </w: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lastRenderedPageBreak/>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A67FBF" w14:textId="1F9625F3" w:rsidR="00AF758C" w:rsidRPr="003E5BC7" w:rsidRDefault="00AF758C" w:rsidP="003E5BC7">
            <w:pPr>
              <w:pStyle w:val="ListParagraph"/>
              <w:numPr>
                <w:ilvl w:val="0"/>
                <w:numId w:val="57"/>
              </w:numPr>
              <w:jc w:val="both"/>
              <w:textAlignment w:val="baseline"/>
              <w:rPr>
                <w:rFonts w:eastAsia="Times New Roman" w:cstheme="minorHAnsi"/>
                <w:kern w:val="0"/>
                <w:lang w:eastAsia="en-GB"/>
                <w14:ligatures w14:val="none"/>
              </w:rPr>
            </w:pPr>
            <w:r w:rsidRPr="003E5BC7">
              <w:rPr>
                <w:rFonts w:eastAsia="Times New Roman" w:cstheme="minorHAnsi"/>
                <w:kern w:val="0"/>
                <w:lang w:eastAsia="en-GB"/>
                <w14:ligatures w14:val="none"/>
              </w:rPr>
              <w:t>Lack of finalized Indian green taxonomy: As of 2025, the RBI framework continues to rely on an interim list of eligible green activities/projects, adopted from the Government of India’s Sovereign Green Bonds Framework (2022), pending formal adoption of an official Indian green taxonomy (Paragraph 7).</w:t>
            </w:r>
          </w:p>
          <w:p w14:paraId="10864038" w14:textId="3ADF40F7" w:rsidR="00AF758C" w:rsidRPr="003E5BC7" w:rsidRDefault="00AF758C" w:rsidP="003E5BC7">
            <w:pPr>
              <w:pStyle w:val="ListParagraph"/>
              <w:numPr>
                <w:ilvl w:val="0"/>
                <w:numId w:val="57"/>
              </w:numPr>
              <w:jc w:val="both"/>
              <w:textAlignment w:val="baseline"/>
              <w:rPr>
                <w:rFonts w:eastAsia="Times New Roman" w:cstheme="minorHAnsi"/>
                <w:kern w:val="0"/>
                <w:lang w:eastAsia="en-GB"/>
                <w14:ligatures w14:val="none"/>
              </w:rPr>
            </w:pPr>
            <w:r w:rsidRPr="003E5BC7">
              <w:rPr>
                <w:rFonts w:eastAsia="Times New Roman" w:cstheme="minorHAnsi"/>
                <w:kern w:val="0"/>
                <w:lang w:eastAsia="en-GB"/>
                <w14:ligatures w14:val="none"/>
              </w:rPr>
              <w:t>Limited standardization and availability of ESG/climate risk data: REs are required to validate sustainability-related information from borrowers (Paragraph 5(ii)), but continue to face gaps in borrower disclosures, inconsistent data formats, and lack of industry benchmarks.</w:t>
            </w:r>
          </w:p>
          <w:p w14:paraId="718D87F5" w14:textId="095A714D" w:rsidR="00702413" w:rsidRPr="003E5BC7" w:rsidRDefault="00AF758C" w:rsidP="003E5BC7">
            <w:pPr>
              <w:pStyle w:val="ListParagraph"/>
              <w:numPr>
                <w:ilvl w:val="0"/>
                <w:numId w:val="57"/>
              </w:numPr>
              <w:jc w:val="both"/>
              <w:textAlignment w:val="baseline"/>
              <w:rPr>
                <w:rFonts w:eastAsia="Times New Roman" w:cstheme="minorHAnsi"/>
                <w:kern w:val="0"/>
                <w:lang w:eastAsia="en-GB"/>
                <w14:ligatures w14:val="none"/>
              </w:rPr>
            </w:pPr>
            <w:r w:rsidRPr="003E5BC7">
              <w:rPr>
                <w:rFonts w:eastAsia="Times New Roman" w:cstheme="minorHAnsi"/>
                <w:kern w:val="0"/>
                <w:lang w:eastAsia="en-GB"/>
                <w14:ligatures w14:val="none"/>
              </w:rPr>
              <w:t>Compliance burden for mid-sized and smaller REs: The framework mandates a Board-approved Financing Framework, third-party verification, impact assessment, and website/public disclosures, which may impose administrative and cost burdens, especially on smaller NBFCs and banks with limited sustainability expertise or systems (Paragraphs 4–6, 8–12).</w:t>
            </w: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6CB2A6B8" w:rsidR="00FE0EA5" w:rsidRPr="009C4D10" w:rsidRDefault="00FE0EA5" w:rsidP="00CF2E7C">
            <w:pPr>
              <w:rPr>
                <w:rFonts w:cstheme="minorHAnsi"/>
              </w:rPr>
            </w:pPr>
            <w:r w:rsidRPr="009C4D10">
              <w:rPr>
                <w:rFonts w:cstheme="minorHAnsi"/>
                <w:lang w:val="en-SG"/>
              </w:rPr>
              <w:t> </w:t>
            </w:r>
            <w:r w:rsidRPr="009C4D10">
              <w:rPr>
                <w:rFonts w:cstheme="minorHAnsi"/>
              </w:rPr>
              <w:t> </w:t>
            </w:r>
            <w:r w:rsidR="00D201F9">
              <w:rPr>
                <w:rFonts w:cstheme="minorHAnsi"/>
              </w:rPr>
              <w:t>X</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0C275F9C" w:rsidR="00FE0EA5" w:rsidRPr="009C4D10" w:rsidRDefault="00FE0EA5" w:rsidP="00CF2E7C">
            <w:pPr>
              <w:rPr>
                <w:rFonts w:cstheme="minorHAnsi"/>
              </w:rPr>
            </w:pPr>
            <w:r w:rsidRPr="009C4D10">
              <w:rPr>
                <w:rFonts w:cstheme="minorHAnsi"/>
                <w:lang w:val="en-SG"/>
              </w:rPr>
              <w:t> </w:t>
            </w:r>
            <w:r w:rsidRPr="009C4D10">
              <w:rPr>
                <w:rFonts w:cstheme="minorHAnsi"/>
              </w:rPr>
              <w:t> </w:t>
            </w:r>
            <w:r w:rsidR="00D201F9">
              <w:rPr>
                <w:rFonts w:cstheme="minorHAnsi"/>
              </w:rPr>
              <w:t>X</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8"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35A4E0F0" w:rsidR="00FE0EA5" w:rsidRPr="009C4D10" w:rsidRDefault="00FE0EA5" w:rsidP="00CF2E7C">
            <w:pPr>
              <w:rPr>
                <w:rFonts w:cstheme="minorHAnsi"/>
              </w:rPr>
            </w:pPr>
            <w:r w:rsidRPr="009C4D10">
              <w:rPr>
                <w:rFonts w:cstheme="minorHAnsi"/>
                <w:lang w:val="en-SG"/>
              </w:rPr>
              <w:t> </w:t>
            </w:r>
            <w:r w:rsidRPr="009C4D10">
              <w:rPr>
                <w:rFonts w:cstheme="minorHAnsi"/>
              </w:rPr>
              <w:t> </w:t>
            </w:r>
            <w:r w:rsidR="00D201F9">
              <w:rPr>
                <w:rFonts w:cstheme="minorHAnsi"/>
              </w:rPr>
              <w:t>X</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250A6DD2" w:rsidR="00FE0EA5" w:rsidRPr="009C4D10" w:rsidRDefault="00FE0EA5" w:rsidP="00CF2E7C">
            <w:pPr>
              <w:rPr>
                <w:rFonts w:cstheme="minorHAnsi"/>
              </w:rPr>
            </w:pPr>
            <w:r w:rsidRPr="009C4D10">
              <w:rPr>
                <w:rFonts w:cstheme="minorHAnsi"/>
                <w:lang w:val="en-SG"/>
              </w:rPr>
              <w:t> </w:t>
            </w:r>
            <w:r w:rsidRPr="009C4D10">
              <w:rPr>
                <w:rFonts w:cstheme="minorHAnsi"/>
              </w:rPr>
              <w:t> </w:t>
            </w:r>
            <w:r w:rsidR="00D201F9">
              <w:rPr>
                <w:rFonts w:cstheme="minorHAnsi"/>
              </w:rPr>
              <w:t>X</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518FDD53" w:rsidR="00FE0EA5" w:rsidRPr="009C4D10" w:rsidRDefault="00FE0EA5" w:rsidP="00CF2E7C">
            <w:pPr>
              <w:rPr>
                <w:rFonts w:cstheme="minorHAnsi"/>
              </w:rPr>
            </w:pPr>
            <w:r w:rsidRPr="009C4D10">
              <w:rPr>
                <w:rFonts w:cstheme="minorHAnsi"/>
                <w:lang w:val="en-SG"/>
              </w:rPr>
              <w:t> </w:t>
            </w:r>
            <w:r w:rsidRPr="009C4D10">
              <w:rPr>
                <w:rFonts w:cstheme="minorHAnsi"/>
              </w:rPr>
              <w:t> </w:t>
            </w:r>
            <w:r w:rsidR="00D201F9">
              <w:rPr>
                <w:rFonts w:cstheme="minorHAnsi"/>
              </w:rPr>
              <w:t>X</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3C844DC5" w:rsidR="00FE0EA5" w:rsidRPr="009C4D10" w:rsidRDefault="00FE0EA5" w:rsidP="00CF2E7C">
            <w:pPr>
              <w:rPr>
                <w:rFonts w:cstheme="minorHAnsi"/>
              </w:rPr>
            </w:pPr>
            <w:r w:rsidRPr="009C4D10">
              <w:rPr>
                <w:rFonts w:cstheme="minorHAnsi"/>
              </w:rPr>
              <w:t>  </w:t>
            </w:r>
            <w:r w:rsidR="00D201F9">
              <w:rPr>
                <w:rFonts w:cstheme="minorHAnsi"/>
              </w:rPr>
              <w:t>X</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07E97AA2" w:rsidR="00FE0EA5" w:rsidRPr="009C4D10" w:rsidRDefault="00FE0EA5" w:rsidP="00CF2E7C">
            <w:pPr>
              <w:rPr>
                <w:rFonts w:cstheme="minorHAnsi"/>
              </w:rPr>
            </w:pPr>
            <w:r w:rsidRPr="009C4D10">
              <w:rPr>
                <w:rFonts w:cstheme="minorHAnsi"/>
                <w:lang w:val="en-SG"/>
              </w:rPr>
              <w:t> </w:t>
            </w:r>
            <w:r w:rsidRPr="009C4D10">
              <w:rPr>
                <w:rFonts w:cstheme="minorHAnsi"/>
              </w:rPr>
              <w:t> </w:t>
            </w:r>
            <w:r w:rsidR="00D201F9">
              <w:rPr>
                <w:rFonts w:cstheme="minorHAnsi"/>
              </w:rPr>
              <w:t>X</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151D7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0"/>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902F85" w14:textId="77777777" w:rsidR="003A4B40" w:rsidRDefault="003A4B40" w:rsidP="00874E39">
      <w:r>
        <w:separator/>
      </w:r>
    </w:p>
  </w:endnote>
  <w:endnote w:type="continuationSeparator" w:id="0">
    <w:p w14:paraId="1E03FCB1" w14:textId="77777777" w:rsidR="003A4B40" w:rsidRDefault="003A4B40" w:rsidP="00874E39">
      <w:r>
        <w:continuationSeparator/>
      </w:r>
    </w:p>
  </w:endnote>
  <w:endnote w:type="continuationNotice" w:id="1">
    <w:p w14:paraId="53D614E4" w14:textId="77777777" w:rsidR="003A4B40" w:rsidRDefault="003A4B4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D1D3D3C" w14:textId="77777777" w:rsidR="003A4B40" w:rsidRDefault="003A4B40" w:rsidP="00874E39">
      <w:r>
        <w:separator/>
      </w:r>
    </w:p>
  </w:footnote>
  <w:footnote w:type="continuationSeparator" w:id="0">
    <w:p w14:paraId="3078B2E1" w14:textId="77777777" w:rsidR="003A4B40" w:rsidRDefault="003A4B40" w:rsidP="00874E39">
      <w:r>
        <w:continuationSeparator/>
      </w:r>
    </w:p>
  </w:footnote>
  <w:footnote w:type="continuationNotice" w:id="1">
    <w:p w14:paraId="57FEA545" w14:textId="77777777" w:rsidR="003A4B40" w:rsidRDefault="003A4B4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B04C26"/>
    <w:multiLevelType w:val="multilevel"/>
    <w:tmpl w:val="1E66B904"/>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4"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5"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6"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7"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8"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9"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10"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1" w15:restartNumberingAfterBreak="0">
    <w:nsid w:val="20A509B3"/>
    <w:multiLevelType w:val="multilevel"/>
    <w:tmpl w:val="B6824B0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3"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4"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5"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ED30447"/>
    <w:multiLevelType w:val="multilevel"/>
    <w:tmpl w:val="9476133E"/>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9" w15:restartNumberingAfterBreak="0">
    <w:nsid w:val="2FDE1E20"/>
    <w:multiLevelType w:val="multilevel"/>
    <w:tmpl w:val="28441144"/>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21" w15:restartNumberingAfterBreak="0">
    <w:nsid w:val="32C44135"/>
    <w:multiLevelType w:val="multilevel"/>
    <w:tmpl w:val="9990B110"/>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22"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3"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4"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5"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6"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1C55567"/>
    <w:multiLevelType w:val="hybridMultilevel"/>
    <w:tmpl w:val="0BBC7B74"/>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29" w15:restartNumberingAfterBreak="0">
    <w:nsid w:val="42125C69"/>
    <w:multiLevelType w:val="multilevel"/>
    <w:tmpl w:val="111E1614"/>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31"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2"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3"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4" w15:restartNumberingAfterBreak="0">
    <w:nsid w:val="47960E1A"/>
    <w:multiLevelType w:val="hybridMultilevel"/>
    <w:tmpl w:val="6BC6EA9E"/>
    <w:lvl w:ilvl="0" w:tplc="40090017">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5"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6"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7"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8"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9"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40"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41"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42"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3"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4"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6"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7"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8"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9" w15:restartNumberingAfterBreak="0">
    <w:nsid w:val="65507C06"/>
    <w:multiLevelType w:val="hybridMultilevel"/>
    <w:tmpl w:val="39C6EC0E"/>
    <w:lvl w:ilvl="0" w:tplc="3C3C2C42">
      <w:numFmt w:val="bullet"/>
      <w:lvlText w:val=""/>
      <w:lvlJc w:val="left"/>
      <w:pPr>
        <w:ind w:left="720" w:hanging="360"/>
      </w:pPr>
      <w:rPr>
        <w:rFonts w:ascii="Calibri" w:eastAsia="Times New Roman" w:hAnsi="Calibri" w:cs="Calibri" w:hint="default"/>
      </w:rPr>
    </w:lvl>
    <w:lvl w:ilvl="1" w:tplc="40090003" w:tentative="1">
      <w:start w:val="1"/>
      <w:numFmt w:val="bullet"/>
      <w:lvlText w:val="o"/>
      <w:lvlJc w:val="left"/>
      <w:pPr>
        <w:ind w:left="1440" w:hanging="360"/>
      </w:pPr>
      <w:rPr>
        <w:rFonts w:ascii="Courier New" w:hAnsi="Courier New" w:cs="Courier New" w:hint="default"/>
      </w:rPr>
    </w:lvl>
    <w:lvl w:ilvl="2" w:tplc="40090005" w:tentative="1">
      <w:start w:val="1"/>
      <w:numFmt w:val="bullet"/>
      <w:lvlText w:val=""/>
      <w:lvlJc w:val="left"/>
      <w:pPr>
        <w:ind w:left="2160" w:hanging="360"/>
      </w:pPr>
      <w:rPr>
        <w:rFonts w:ascii="Wingdings" w:hAnsi="Wingdings" w:hint="default"/>
      </w:rPr>
    </w:lvl>
    <w:lvl w:ilvl="3" w:tplc="40090001" w:tentative="1">
      <w:start w:val="1"/>
      <w:numFmt w:val="bullet"/>
      <w:lvlText w:val=""/>
      <w:lvlJc w:val="left"/>
      <w:pPr>
        <w:ind w:left="2880" w:hanging="360"/>
      </w:pPr>
      <w:rPr>
        <w:rFonts w:ascii="Symbol" w:hAnsi="Symbol" w:hint="default"/>
      </w:rPr>
    </w:lvl>
    <w:lvl w:ilvl="4" w:tplc="40090003" w:tentative="1">
      <w:start w:val="1"/>
      <w:numFmt w:val="bullet"/>
      <w:lvlText w:val="o"/>
      <w:lvlJc w:val="left"/>
      <w:pPr>
        <w:ind w:left="3600" w:hanging="360"/>
      </w:pPr>
      <w:rPr>
        <w:rFonts w:ascii="Courier New" w:hAnsi="Courier New" w:cs="Courier New" w:hint="default"/>
      </w:rPr>
    </w:lvl>
    <w:lvl w:ilvl="5" w:tplc="40090005" w:tentative="1">
      <w:start w:val="1"/>
      <w:numFmt w:val="bullet"/>
      <w:lvlText w:val=""/>
      <w:lvlJc w:val="left"/>
      <w:pPr>
        <w:ind w:left="4320" w:hanging="360"/>
      </w:pPr>
      <w:rPr>
        <w:rFonts w:ascii="Wingdings" w:hAnsi="Wingdings" w:hint="default"/>
      </w:rPr>
    </w:lvl>
    <w:lvl w:ilvl="6" w:tplc="40090001" w:tentative="1">
      <w:start w:val="1"/>
      <w:numFmt w:val="bullet"/>
      <w:lvlText w:val=""/>
      <w:lvlJc w:val="left"/>
      <w:pPr>
        <w:ind w:left="5040" w:hanging="360"/>
      </w:pPr>
      <w:rPr>
        <w:rFonts w:ascii="Symbol" w:hAnsi="Symbol" w:hint="default"/>
      </w:rPr>
    </w:lvl>
    <w:lvl w:ilvl="7" w:tplc="40090003" w:tentative="1">
      <w:start w:val="1"/>
      <w:numFmt w:val="bullet"/>
      <w:lvlText w:val="o"/>
      <w:lvlJc w:val="left"/>
      <w:pPr>
        <w:ind w:left="5760" w:hanging="360"/>
      </w:pPr>
      <w:rPr>
        <w:rFonts w:ascii="Courier New" w:hAnsi="Courier New" w:cs="Courier New" w:hint="default"/>
      </w:rPr>
    </w:lvl>
    <w:lvl w:ilvl="8" w:tplc="40090005" w:tentative="1">
      <w:start w:val="1"/>
      <w:numFmt w:val="bullet"/>
      <w:lvlText w:val=""/>
      <w:lvlJc w:val="left"/>
      <w:pPr>
        <w:ind w:left="6480" w:hanging="360"/>
      </w:pPr>
      <w:rPr>
        <w:rFonts w:ascii="Wingdings" w:hAnsi="Wingdings" w:hint="default"/>
      </w:rPr>
    </w:lvl>
  </w:abstractNum>
  <w:abstractNum w:abstractNumId="50"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51" w15:restartNumberingAfterBreak="0">
    <w:nsid w:val="6AFF07CB"/>
    <w:multiLevelType w:val="multilevel"/>
    <w:tmpl w:val="3BF8002E"/>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abstractNum w:abstractNumId="52" w15:restartNumberingAfterBreak="0">
    <w:nsid w:val="6C4C7D33"/>
    <w:multiLevelType w:val="multilevel"/>
    <w:tmpl w:val="B53C6ED8"/>
    <w:lvl w:ilvl="0">
      <w:start w:val="1"/>
      <w:numFmt w:val="lowerLetter"/>
      <w:lvlText w:val="%1)"/>
      <w:lvlJc w:val="lef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5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5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7" w15:restartNumberingAfterBreak="0">
    <w:nsid w:val="7307181E"/>
    <w:multiLevelType w:val="hybridMultilevel"/>
    <w:tmpl w:val="D7569DE2"/>
    <w:lvl w:ilvl="0" w:tplc="40090001">
      <w:start w:val="1"/>
      <w:numFmt w:val="bullet"/>
      <w:lvlText w:val=""/>
      <w:lvlJc w:val="left"/>
      <w:pPr>
        <w:ind w:left="360" w:hanging="360"/>
      </w:pPr>
      <w:rPr>
        <w:rFonts w:ascii="Symbol" w:hAnsi="Symbol" w:hint="default"/>
      </w:rPr>
    </w:lvl>
    <w:lvl w:ilvl="1" w:tplc="40090003" w:tentative="1">
      <w:start w:val="1"/>
      <w:numFmt w:val="bullet"/>
      <w:lvlText w:val="o"/>
      <w:lvlJc w:val="left"/>
      <w:pPr>
        <w:ind w:left="1080" w:hanging="360"/>
      </w:pPr>
      <w:rPr>
        <w:rFonts w:ascii="Courier New" w:hAnsi="Courier New" w:cs="Courier New" w:hint="default"/>
      </w:rPr>
    </w:lvl>
    <w:lvl w:ilvl="2" w:tplc="40090005" w:tentative="1">
      <w:start w:val="1"/>
      <w:numFmt w:val="bullet"/>
      <w:lvlText w:val=""/>
      <w:lvlJc w:val="left"/>
      <w:pPr>
        <w:ind w:left="1800" w:hanging="360"/>
      </w:pPr>
      <w:rPr>
        <w:rFonts w:ascii="Wingdings" w:hAnsi="Wingdings" w:hint="default"/>
      </w:rPr>
    </w:lvl>
    <w:lvl w:ilvl="3" w:tplc="40090001" w:tentative="1">
      <w:start w:val="1"/>
      <w:numFmt w:val="bullet"/>
      <w:lvlText w:val=""/>
      <w:lvlJc w:val="left"/>
      <w:pPr>
        <w:ind w:left="2520" w:hanging="360"/>
      </w:pPr>
      <w:rPr>
        <w:rFonts w:ascii="Symbol" w:hAnsi="Symbol" w:hint="default"/>
      </w:rPr>
    </w:lvl>
    <w:lvl w:ilvl="4" w:tplc="40090003" w:tentative="1">
      <w:start w:val="1"/>
      <w:numFmt w:val="bullet"/>
      <w:lvlText w:val="o"/>
      <w:lvlJc w:val="left"/>
      <w:pPr>
        <w:ind w:left="3240" w:hanging="360"/>
      </w:pPr>
      <w:rPr>
        <w:rFonts w:ascii="Courier New" w:hAnsi="Courier New" w:cs="Courier New" w:hint="default"/>
      </w:rPr>
    </w:lvl>
    <w:lvl w:ilvl="5" w:tplc="40090005" w:tentative="1">
      <w:start w:val="1"/>
      <w:numFmt w:val="bullet"/>
      <w:lvlText w:val=""/>
      <w:lvlJc w:val="left"/>
      <w:pPr>
        <w:ind w:left="3960" w:hanging="360"/>
      </w:pPr>
      <w:rPr>
        <w:rFonts w:ascii="Wingdings" w:hAnsi="Wingdings" w:hint="default"/>
      </w:rPr>
    </w:lvl>
    <w:lvl w:ilvl="6" w:tplc="40090001" w:tentative="1">
      <w:start w:val="1"/>
      <w:numFmt w:val="bullet"/>
      <w:lvlText w:val=""/>
      <w:lvlJc w:val="left"/>
      <w:pPr>
        <w:ind w:left="4680" w:hanging="360"/>
      </w:pPr>
      <w:rPr>
        <w:rFonts w:ascii="Symbol" w:hAnsi="Symbol" w:hint="default"/>
      </w:rPr>
    </w:lvl>
    <w:lvl w:ilvl="7" w:tplc="40090003" w:tentative="1">
      <w:start w:val="1"/>
      <w:numFmt w:val="bullet"/>
      <w:lvlText w:val="o"/>
      <w:lvlJc w:val="left"/>
      <w:pPr>
        <w:ind w:left="5400" w:hanging="360"/>
      </w:pPr>
      <w:rPr>
        <w:rFonts w:ascii="Courier New" w:hAnsi="Courier New" w:cs="Courier New" w:hint="default"/>
      </w:rPr>
    </w:lvl>
    <w:lvl w:ilvl="8" w:tplc="40090005" w:tentative="1">
      <w:start w:val="1"/>
      <w:numFmt w:val="bullet"/>
      <w:lvlText w:val=""/>
      <w:lvlJc w:val="left"/>
      <w:pPr>
        <w:ind w:left="6120" w:hanging="360"/>
      </w:pPr>
      <w:rPr>
        <w:rFonts w:ascii="Wingdings" w:hAnsi="Wingdings" w:hint="default"/>
      </w:rPr>
    </w:lvl>
  </w:abstractNum>
  <w:abstractNum w:abstractNumId="5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abstractNum w:abstractNumId="60" w15:restartNumberingAfterBreak="0">
    <w:nsid w:val="79A91133"/>
    <w:multiLevelType w:val="multilevel"/>
    <w:tmpl w:val="FCD2D21A"/>
    <w:lvl w:ilvl="0">
      <w:start w:val="1"/>
      <w:numFmt w:val="bullet"/>
      <w:lvlText w:val=""/>
      <w:lvlJc w:val="left"/>
      <w:pPr>
        <w:tabs>
          <w:tab w:val="num" w:pos="360"/>
        </w:tabs>
        <w:ind w:left="360" w:hanging="360"/>
      </w:pPr>
      <w:rPr>
        <w:rFonts w:ascii="Symbol" w:hAnsi="Symbol" w:hint="default"/>
        <w:sz w:val="20"/>
      </w:rPr>
    </w:lvl>
    <w:lvl w:ilvl="1" w:tentative="1">
      <w:start w:val="1"/>
      <w:numFmt w:val="bullet"/>
      <w:lvlText w:val="o"/>
      <w:lvlJc w:val="left"/>
      <w:pPr>
        <w:tabs>
          <w:tab w:val="num" w:pos="1080"/>
        </w:tabs>
        <w:ind w:left="1080" w:hanging="360"/>
      </w:pPr>
      <w:rPr>
        <w:rFonts w:ascii="Courier New" w:hAnsi="Courier New" w:hint="default"/>
        <w:sz w:val="20"/>
      </w:rPr>
    </w:lvl>
    <w:lvl w:ilvl="2" w:tentative="1">
      <w:start w:val="1"/>
      <w:numFmt w:val="bullet"/>
      <w:lvlText w:val=""/>
      <w:lvlJc w:val="left"/>
      <w:pPr>
        <w:tabs>
          <w:tab w:val="num" w:pos="1800"/>
        </w:tabs>
        <w:ind w:left="1800" w:hanging="360"/>
      </w:pPr>
      <w:rPr>
        <w:rFonts w:ascii="Wingdings" w:hAnsi="Wingdings" w:hint="default"/>
        <w:sz w:val="20"/>
      </w:rPr>
    </w:lvl>
    <w:lvl w:ilvl="3" w:tentative="1">
      <w:start w:val="1"/>
      <w:numFmt w:val="bullet"/>
      <w:lvlText w:val=""/>
      <w:lvlJc w:val="left"/>
      <w:pPr>
        <w:tabs>
          <w:tab w:val="num" w:pos="2520"/>
        </w:tabs>
        <w:ind w:left="2520" w:hanging="360"/>
      </w:pPr>
      <w:rPr>
        <w:rFonts w:ascii="Wingdings" w:hAnsi="Wingdings" w:hint="default"/>
        <w:sz w:val="20"/>
      </w:rPr>
    </w:lvl>
    <w:lvl w:ilvl="4" w:tentative="1">
      <w:start w:val="1"/>
      <w:numFmt w:val="bullet"/>
      <w:lvlText w:val=""/>
      <w:lvlJc w:val="left"/>
      <w:pPr>
        <w:tabs>
          <w:tab w:val="num" w:pos="3240"/>
        </w:tabs>
        <w:ind w:left="3240" w:hanging="360"/>
      </w:pPr>
      <w:rPr>
        <w:rFonts w:ascii="Wingdings" w:hAnsi="Wingdings" w:hint="default"/>
        <w:sz w:val="20"/>
      </w:rPr>
    </w:lvl>
    <w:lvl w:ilvl="5" w:tentative="1">
      <w:start w:val="1"/>
      <w:numFmt w:val="bullet"/>
      <w:lvlText w:val=""/>
      <w:lvlJc w:val="left"/>
      <w:pPr>
        <w:tabs>
          <w:tab w:val="num" w:pos="3960"/>
        </w:tabs>
        <w:ind w:left="3960" w:hanging="360"/>
      </w:pPr>
      <w:rPr>
        <w:rFonts w:ascii="Wingdings" w:hAnsi="Wingdings" w:hint="default"/>
        <w:sz w:val="20"/>
      </w:rPr>
    </w:lvl>
    <w:lvl w:ilvl="6" w:tentative="1">
      <w:start w:val="1"/>
      <w:numFmt w:val="bullet"/>
      <w:lvlText w:val=""/>
      <w:lvlJc w:val="left"/>
      <w:pPr>
        <w:tabs>
          <w:tab w:val="num" w:pos="4680"/>
        </w:tabs>
        <w:ind w:left="4680" w:hanging="360"/>
      </w:pPr>
      <w:rPr>
        <w:rFonts w:ascii="Wingdings" w:hAnsi="Wingdings" w:hint="default"/>
        <w:sz w:val="20"/>
      </w:rPr>
    </w:lvl>
    <w:lvl w:ilvl="7" w:tentative="1">
      <w:start w:val="1"/>
      <w:numFmt w:val="bullet"/>
      <w:lvlText w:val=""/>
      <w:lvlJc w:val="left"/>
      <w:pPr>
        <w:tabs>
          <w:tab w:val="num" w:pos="5400"/>
        </w:tabs>
        <w:ind w:left="5400" w:hanging="360"/>
      </w:pPr>
      <w:rPr>
        <w:rFonts w:ascii="Wingdings" w:hAnsi="Wingdings" w:hint="default"/>
        <w:sz w:val="20"/>
      </w:rPr>
    </w:lvl>
    <w:lvl w:ilvl="8" w:tentative="1">
      <w:start w:val="1"/>
      <w:numFmt w:val="bullet"/>
      <w:lvlText w:val=""/>
      <w:lvlJc w:val="left"/>
      <w:pPr>
        <w:tabs>
          <w:tab w:val="num" w:pos="6120"/>
        </w:tabs>
        <w:ind w:left="6120" w:hanging="360"/>
      </w:pPr>
      <w:rPr>
        <w:rFonts w:ascii="Wingdings" w:hAnsi="Wingdings" w:hint="default"/>
        <w:sz w:val="20"/>
      </w:rPr>
    </w:lvl>
  </w:abstractNum>
  <w:num w:numId="1" w16cid:durableId="680666882">
    <w:abstractNumId w:val="20"/>
  </w:num>
  <w:num w:numId="2" w16cid:durableId="482308869">
    <w:abstractNumId w:val="30"/>
  </w:num>
  <w:num w:numId="3" w16cid:durableId="690952733">
    <w:abstractNumId w:val="50"/>
  </w:num>
  <w:num w:numId="4" w16cid:durableId="1689330127">
    <w:abstractNumId w:val="1"/>
  </w:num>
  <w:num w:numId="5" w16cid:durableId="401291788">
    <w:abstractNumId w:val="36"/>
  </w:num>
  <w:num w:numId="6" w16cid:durableId="1276788690">
    <w:abstractNumId w:val="15"/>
  </w:num>
  <w:num w:numId="7" w16cid:durableId="566767730">
    <w:abstractNumId w:val="25"/>
  </w:num>
  <w:num w:numId="8" w16cid:durableId="1780710843">
    <w:abstractNumId w:val="42"/>
  </w:num>
  <w:num w:numId="9" w16cid:durableId="1685783054">
    <w:abstractNumId w:val="4"/>
  </w:num>
  <w:num w:numId="10" w16cid:durableId="950551298">
    <w:abstractNumId w:val="39"/>
  </w:num>
  <w:num w:numId="11" w16cid:durableId="1591960799">
    <w:abstractNumId w:val="59"/>
  </w:num>
  <w:num w:numId="12" w16cid:durableId="1344891410">
    <w:abstractNumId w:val="10"/>
  </w:num>
  <w:num w:numId="13" w16cid:durableId="2023899324">
    <w:abstractNumId w:val="13"/>
  </w:num>
  <w:num w:numId="14" w16cid:durableId="430587014">
    <w:abstractNumId w:val="8"/>
  </w:num>
  <w:num w:numId="15" w16cid:durableId="1742869061">
    <w:abstractNumId w:val="38"/>
  </w:num>
  <w:num w:numId="16" w16cid:durableId="1996450437">
    <w:abstractNumId w:val="24"/>
  </w:num>
  <w:num w:numId="17" w16cid:durableId="1529031027">
    <w:abstractNumId w:val="9"/>
  </w:num>
  <w:num w:numId="18" w16cid:durableId="568614617">
    <w:abstractNumId w:val="22"/>
  </w:num>
  <w:num w:numId="19" w16cid:durableId="1530605858">
    <w:abstractNumId w:val="53"/>
  </w:num>
  <w:num w:numId="20" w16cid:durableId="1328172586">
    <w:abstractNumId w:val="18"/>
  </w:num>
  <w:num w:numId="21" w16cid:durableId="184827816">
    <w:abstractNumId w:val="35"/>
  </w:num>
  <w:num w:numId="22" w16cid:durableId="1785346599">
    <w:abstractNumId w:val="41"/>
  </w:num>
  <w:num w:numId="23" w16cid:durableId="1294288901">
    <w:abstractNumId w:val="33"/>
  </w:num>
  <w:num w:numId="24" w16cid:durableId="1603957975">
    <w:abstractNumId w:val="55"/>
  </w:num>
  <w:num w:numId="25" w16cid:durableId="1659531047">
    <w:abstractNumId w:val="54"/>
  </w:num>
  <w:num w:numId="26" w16cid:durableId="752774403">
    <w:abstractNumId w:val="27"/>
  </w:num>
  <w:num w:numId="27" w16cid:durableId="347872198">
    <w:abstractNumId w:val="7"/>
  </w:num>
  <w:num w:numId="28" w16cid:durableId="537133110">
    <w:abstractNumId w:val="14"/>
  </w:num>
  <w:num w:numId="29" w16cid:durableId="1632318729">
    <w:abstractNumId w:val="56"/>
  </w:num>
  <w:num w:numId="30" w16cid:durableId="1268124074">
    <w:abstractNumId w:val="40"/>
  </w:num>
  <w:num w:numId="31" w16cid:durableId="887108748">
    <w:abstractNumId w:val="37"/>
  </w:num>
  <w:num w:numId="32" w16cid:durableId="1826125712">
    <w:abstractNumId w:val="43"/>
  </w:num>
  <w:num w:numId="33" w16cid:durableId="823357978">
    <w:abstractNumId w:val="47"/>
  </w:num>
  <w:num w:numId="34" w16cid:durableId="1092120443">
    <w:abstractNumId w:val="46"/>
  </w:num>
  <w:num w:numId="35" w16cid:durableId="124861188">
    <w:abstractNumId w:val="12"/>
  </w:num>
  <w:num w:numId="36" w16cid:durableId="1952588250">
    <w:abstractNumId w:val="45"/>
  </w:num>
  <w:num w:numId="37" w16cid:durableId="1712027211">
    <w:abstractNumId w:val="5"/>
  </w:num>
  <w:num w:numId="38" w16cid:durableId="2033795929">
    <w:abstractNumId w:val="3"/>
  </w:num>
  <w:num w:numId="39" w16cid:durableId="1238595582">
    <w:abstractNumId w:val="31"/>
  </w:num>
  <w:num w:numId="40" w16cid:durableId="416558262">
    <w:abstractNumId w:val="26"/>
  </w:num>
  <w:num w:numId="41" w16cid:durableId="1543715517">
    <w:abstractNumId w:val="23"/>
  </w:num>
  <w:num w:numId="42" w16cid:durableId="452208391">
    <w:abstractNumId w:val="16"/>
  </w:num>
  <w:num w:numId="43" w16cid:durableId="260340070">
    <w:abstractNumId w:val="0"/>
  </w:num>
  <w:num w:numId="44" w16cid:durableId="1639914969">
    <w:abstractNumId w:val="6"/>
  </w:num>
  <w:num w:numId="45" w16cid:durableId="1554191892">
    <w:abstractNumId w:val="48"/>
  </w:num>
  <w:num w:numId="46" w16cid:durableId="947811845">
    <w:abstractNumId w:val="58"/>
  </w:num>
  <w:num w:numId="47" w16cid:durableId="342588554">
    <w:abstractNumId w:val="32"/>
  </w:num>
  <w:num w:numId="48" w16cid:durableId="318391343">
    <w:abstractNumId w:val="44"/>
  </w:num>
  <w:num w:numId="49" w16cid:durableId="1805542256">
    <w:abstractNumId w:val="52"/>
  </w:num>
  <w:num w:numId="50" w16cid:durableId="1616014727">
    <w:abstractNumId w:val="2"/>
  </w:num>
  <w:num w:numId="51" w16cid:durableId="479659251">
    <w:abstractNumId w:val="17"/>
  </w:num>
  <w:num w:numId="52" w16cid:durableId="1395930473">
    <w:abstractNumId w:val="19"/>
  </w:num>
  <w:num w:numId="53" w16cid:durableId="1119644550">
    <w:abstractNumId w:val="28"/>
  </w:num>
  <w:num w:numId="54" w16cid:durableId="248739501">
    <w:abstractNumId w:val="49"/>
  </w:num>
  <w:num w:numId="55" w16cid:durableId="1343970679">
    <w:abstractNumId w:val="11"/>
  </w:num>
  <w:num w:numId="56" w16cid:durableId="1648242723">
    <w:abstractNumId w:val="29"/>
  </w:num>
  <w:num w:numId="57" w16cid:durableId="1636762628">
    <w:abstractNumId w:val="34"/>
  </w:num>
  <w:num w:numId="58" w16cid:durableId="1448086567">
    <w:abstractNumId w:val="57"/>
  </w:num>
  <w:num w:numId="59" w16cid:durableId="1676418252">
    <w:abstractNumId w:val="60"/>
  </w:num>
  <w:num w:numId="60" w16cid:durableId="795216054">
    <w:abstractNumId w:val="21"/>
  </w:num>
  <w:num w:numId="61" w16cid:durableId="807630644">
    <w:abstractNumId w:val="51"/>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471"/>
    <w:rsid w:val="00016AF3"/>
    <w:rsid w:val="00021C84"/>
    <w:rsid w:val="000235A5"/>
    <w:rsid w:val="000237AB"/>
    <w:rsid w:val="00024B36"/>
    <w:rsid w:val="00024B46"/>
    <w:rsid w:val="000251AF"/>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1827"/>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D71"/>
    <w:rsid w:val="0015206C"/>
    <w:rsid w:val="00152C19"/>
    <w:rsid w:val="00153DBC"/>
    <w:rsid w:val="001546B4"/>
    <w:rsid w:val="00156468"/>
    <w:rsid w:val="00156AE2"/>
    <w:rsid w:val="00156CD5"/>
    <w:rsid w:val="0015734C"/>
    <w:rsid w:val="0016002C"/>
    <w:rsid w:val="00160486"/>
    <w:rsid w:val="001604B3"/>
    <w:rsid w:val="00161D1B"/>
    <w:rsid w:val="00162CC0"/>
    <w:rsid w:val="00164519"/>
    <w:rsid w:val="00167A5F"/>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43D9"/>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4672"/>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4279"/>
    <w:rsid w:val="00306538"/>
    <w:rsid w:val="00307058"/>
    <w:rsid w:val="003071A8"/>
    <w:rsid w:val="00307464"/>
    <w:rsid w:val="0031143A"/>
    <w:rsid w:val="00311F1B"/>
    <w:rsid w:val="00313275"/>
    <w:rsid w:val="00313E83"/>
    <w:rsid w:val="003175A1"/>
    <w:rsid w:val="003218C6"/>
    <w:rsid w:val="00321A5B"/>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8E1"/>
    <w:rsid w:val="003A4A9F"/>
    <w:rsid w:val="003A4B40"/>
    <w:rsid w:val="003A52E3"/>
    <w:rsid w:val="003A5B03"/>
    <w:rsid w:val="003B0628"/>
    <w:rsid w:val="003B10C3"/>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5BC7"/>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16EC"/>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4780"/>
    <w:rsid w:val="004B666D"/>
    <w:rsid w:val="004B739E"/>
    <w:rsid w:val="004B77AB"/>
    <w:rsid w:val="004C006D"/>
    <w:rsid w:val="004C20B7"/>
    <w:rsid w:val="004C3866"/>
    <w:rsid w:val="004C3A52"/>
    <w:rsid w:val="004C427F"/>
    <w:rsid w:val="004C6739"/>
    <w:rsid w:val="004C70AC"/>
    <w:rsid w:val="004D0EB1"/>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665A"/>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19FC"/>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3CF8"/>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2F7"/>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337"/>
    <w:rsid w:val="00702413"/>
    <w:rsid w:val="00702929"/>
    <w:rsid w:val="00702E5A"/>
    <w:rsid w:val="00703034"/>
    <w:rsid w:val="007032D7"/>
    <w:rsid w:val="00704733"/>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466"/>
    <w:rsid w:val="00732D3A"/>
    <w:rsid w:val="007335CD"/>
    <w:rsid w:val="00733903"/>
    <w:rsid w:val="00733D39"/>
    <w:rsid w:val="00735A3B"/>
    <w:rsid w:val="00736F5F"/>
    <w:rsid w:val="00737B83"/>
    <w:rsid w:val="0074022B"/>
    <w:rsid w:val="007404B4"/>
    <w:rsid w:val="00740BD6"/>
    <w:rsid w:val="00740CF0"/>
    <w:rsid w:val="007419BF"/>
    <w:rsid w:val="00741AA1"/>
    <w:rsid w:val="0074258C"/>
    <w:rsid w:val="00742723"/>
    <w:rsid w:val="0074291C"/>
    <w:rsid w:val="00742D5F"/>
    <w:rsid w:val="00743313"/>
    <w:rsid w:val="007437F3"/>
    <w:rsid w:val="00744521"/>
    <w:rsid w:val="007449EE"/>
    <w:rsid w:val="00744BC0"/>
    <w:rsid w:val="00750A02"/>
    <w:rsid w:val="007510C0"/>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341"/>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655"/>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0D2"/>
    <w:rsid w:val="008624B8"/>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196D"/>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39C"/>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2533"/>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D7FBD"/>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9A5"/>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67A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77B"/>
    <w:rsid w:val="00AA4965"/>
    <w:rsid w:val="00AA6DDB"/>
    <w:rsid w:val="00AB0830"/>
    <w:rsid w:val="00AB2CCC"/>
    <w:rsid w:val="00AB4F2C"/>
    <w:rsid w:val="00AB64F8"/>
    <w:rsid w:val="00AC0CFF"/>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5D96"/>
    <w:rsid w:val="00AE7C5F"/>
    <w:rsid w:val="00AF08A8"/>
    <w:rsid w:val="00AF2019"/>
    <w:rsid w:val="00AF26B7"/>
    <w:rsid w:val="00AF30FD"/>
    <w:rsid w:val="00AF3FC6"/>
    <w:rsid w:val="00AF4B5F"/>
    <w:rsid w:val="00AF5B6E"/>
    <w:rsid w:val="00AF758C"/>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1E1A"/>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69DD"/>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3D62"/>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57D0"/>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634"/>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0B7"/>
    <w:rsid w:val="00D01B92"/>
    <w:rsid w:val="00D02935"/>
    <w:rsid w:val="00D02C80"/>
    <w:rsid w:val="00D02FA1"/>
    <w:rsid w:val="00D056E9"/>
    <w:rsid w:val="00D07A89"/>
    <w:rsid w:val="00D1191D"/>
    <w:rsid w:val="00D12870"/>
    <w:rsid w:val="00D1407E"/>
    <w:rsid w:val="00D147C0"/>
    <w:rsid w:val="00D14DD0"/>
    <w:rsid w:val="00D15332"/>
    <w:rsid w:val="00D15379"/>
    <w:rsid w:val="00D15775"/>
    <w:rsid w:val="00D15E8F"/>
    <w:rsid w:val="00D166A9"/>
    <w:rsid w:val="00D16C1B"/>
    <w:rsid w:val="00D1763B"/>
    <w:rsid w:val="00D177DF"/>
    <w:rsid w:val="00D17FD2"/>
    <w:rsid w:val="00D201F9"/>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37456"/>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3272"/>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041"/>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B1A"/>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1C31"/>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613"/>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079A1"/>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D7C83"/>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0596381">
      <w:bodyDiv w:val="1"/>
      <w:marLeft w:val="0"/>
      <w:marRight w:val="0"/>
      <w:marTop w:val="0"/>
      <w:marBottom w:val="0"/>
      <w:divBdr>
        <w:top w:val="none" w:sz="0" w:space="0" w:color="auto"/>
        <w:left w:val="none" w:sz="0" w:space="0" w:color="auto"/>
        <w:bottom w:val="none" w:sz="0" w:space="0" w:color="auto"/>
        <w:right w:val="none" w:sz="0" w:space="0" w:color="auto"/>
      </w:divBdr>
    </w:div>
    <w:div w:id="65690821">
      <w:bodyDiv w:val="1"/>
      <w:marLeft w:val="0"/>
      <w:marRight w:val="0"/>
      <w:marTop w:val="0"/>
      <w:marBottom w:val="0"/>
      <w:divBdr>
        <w:top w:val="none" w:sz="0" w:space="0" w:color="auto"/>
        <w:left w:val="none" w:sz="0" w:space="0" w:color="auto"/>
        <w:bottom w:val="none" w:sz="0" w:space="0" w:color="auto"/>
        <w:right w:val="none" w:sz="0" w:space="0" w:color="auto"/>
      </w:divBdr>
    </w:div>
    <w:div w:id="157575384">
      <w:bodyDiv w:val="1"/>
      <w:marLeft w:val="0"/>
      <w:marRight w:val="0"/>
      <w:marTop w:val="0"/>
      <w:marBottom w:val="0"/>
      <w:divBdr>
        <w:top w:val="none" w:sz="0" w:space="0" w:color="auto"/>
        <w:left w:val="none" w:sz="0" w:space="0" w:color="auto"/>
        <w:bottom w:val="none" w:sz="0" w:space="0" w:color="auto"/>
        <w:right w:val="none" w:sz="0" w:space="0" w:color="auto"/>
      </w:divBdr>
    </w:div>
    <w:div w:id="177891293">
      <w:bodyDiv w:val="1"/>
      <w:marLeft w:val="0"/>
      <w:marRight w:val="0"/>
      <w:marTop w:val="0"/>
      <w:marBottom w:val="0"/>
      <w:divBdr>
        <w:top w:val="none" w:sz="0" w:space="0" w:color="auto"/>
        <w:left w:val="none" w:sz="0" w:space="0" w:color="auto"/>
        <w:bottom w:val="none" w:sz="0" w:space="0" w:color="auto"/>
        <w:right w:val="none" w:sz="0" w:space="0" w:color="auto"/>
      </w:divBdr>
    </w:div>
    <w:div w:id="230821387">
      <w:bodyDiv w:val="1"/>
      <w:marLeft w:val="0"/>
      <w:marRight w:val="0"/>
      <w:marTop w:val="0"/>
      <w:marBottom w:val="0"/>
      <w:divBdr>
        <w:top w:val="none" w:sz="0" w:space="0" w:color="auto"/>
        <w:left w:val="none" w:sz="0" w:space="0" w:color="auto"/>
        <w:bottom w:val="none" w:sz="0" w:space="0" w:color="auto"/>
        <w:right w:val="none" w:sz="0" w:space="0" w:color="auto"/>
      </w:divBdr>
    </w:div>
    <w:div w:id="239949958">
      <w:bodyDiv w:val="1"/>
      <w:marLeft w:val="0"/>
      <w:marRight w:val="0"/>
      <w:marTop w:val="0"/>
      <w:marBottom w:val="0"/>
      <w:divBdr>
        <w:top w:val="none" w:sz="0" w:space="0" w:color="auto"/>
        <w:left w:val="none" w:sz="0" w:space="0" w:color="auto"/>
        <w:bottom w:val="none" w:sz="0" w:space="0" w:color="auto"/>
        <w:right w:val="none" w:sz="0" w:space="0" w:color="auto"/>
      </w:divBdr>
    </w:div>
    <w:div w:id="327025907">
      <w:bodyDiv w:val="1"/>
      <w:marLeft w:val="0"/>
      <w:marRight w:val="0"/>
      <w:marTop w:val="0"/>
      <w:marBottom w:val="0"/>
      <w:divBdr>
        <w:top w:val="none" w:sz="0" w:space="0" w:color="auto"/>
        <w:left w:val="none" w:sz="0" w:space="0" w:color="auto"/>
        <w:bottom w:val="none" w:sz="0" w:space="0" w:color="auto"/>
        <w:right w:val="none" w:sz="0" w:space="0" w:color="auto"/>
      </w:divBdr>
    </w:div>
    <w:div w:id="342437953">
      <w:bodyDiv w:val="1"/>
      <w:marLeft w:val="0"/>
      <w:marRight w:val="0"/>
      <w:marTop w:val="0"/>
      <w:marBottom w:val="0"/>
      <w:divBdr>
        <w:top w:val="none" w:sz="0" w:space="0" w:color="auto"/>
        <w:left w:val="none" w:sz="0" w:space="0" w:color="auto"/>
        <w:bottom w:val="none" w:sz="0" w:space="0" w:color="auto"/>
        <w:right w:val="none" w:sz="0" w:space="0" w:color="auto"/>
      </w:divBdr>
    </w:div>
    <w:div w:id="372661058">
      <w:bodyDiv w:val="1"/>
      <w:marLeft w:val="0"/>
      <w:marRight w:val="0"/>
      <w:marTop w:val="0"/>
      <w:marBottom w:val="0"/>
      <w:divBdr>
        <w:top w:val="none" w:sz="0" w:space="0" w:color="auto"/>
        <w:left w:val="none" w:sz="0" w:space="0" w:color="auto"/>
        <w:bottom w:val="none" w:sz="0" w:space="0" w:color="auto"/>
        <w:right w:val="none" w:sz="0" w:space="0" w:color="auto"/>
      </w:divBdr>
    </w:div>
    <w:div w:id="439380618">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8077614">
      <w:bodyDiv w:val="1"/>
      <w:marLeft w:val="0"/>
      <w:marRight w:val="0"/>
      <w:marTop w:val="0"/>
      <w:marBottom w:val="0"/>
      <w:divBdr>
        <w:top w:val="none" w:sz="0" w:space="0" w:color="auto"/>
        <w:left w:val="none" w:sz="0" w:space="0" w:color="auto"/>
        <w:bottom w:val="none" w:sz="0" w:space="0" w:color="auto"/>
        <w:right w:val="none" w:sz="0" w:space="0" w:color="auto"/>
      </w:divBdr>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89067640">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4544148">
      <w:bodyDiv w:val="1"/>
      <w:marLeft w:val="0"/>
      <w:marRight w:val="0"/>
      <w:marTop w:val="0"/>
      <w:marBottom w:val="0"/>
      <w:divBdr>
        <w:top w:val="none" w:sz="0" w:space="0" w:color="auto"/>
        <w:left w:val="none" w:sz="0" w:space="0" w:color="auto"/>
        <w:bottom w:val="none" w:sz="0" w:space="0" w:color="auto"/>
        <w:right w:val="none" w:sz="0" w:space="0" w:color="auto"/>
      </w:divBdr>
    </w:div>
    <w:div w:id="963804560">
      <w:bodyDiv w:val="1"/>
      <w:marLeft w:val="0"/>
      <w:marRight w:val="0"/>
      <w:marTop w:val="0"/>
      <w:marBottom w:val="0"/>
      <w:divBdr>
        <w:top w:val="none" w:sz="0" w:space="0" w:color="auto"/>
        <w:left w:val="none" w:sz="0" w:space="0" w:color="auto"/>
        <w:bottom w:val="none" w:sz="0" w:space="0" w:color="auto"/>
        <w:right w:val="none" w:sz="0" w:space="0" w:color="auto"/>
      </w:divBdr>
    </w:div>
    <w:div w:id="998072135">
      <w:bodyDiv w:val="1"/>
      <w:marLeft w:val="0"/>
      <w:marRight w:val="0"/>
      <w:marTop w:val="0"/>
      <w:marBottom w:val="0"/>
      <w:divBdr>
        <w:top w:val="none" w:sz="0" w:space="0" w:color="auto"/>
        <w:left w:val="none" w:sz="0" w:space="0" w:color="auto"/>
        <w:bottom w:val="none" w:sz="0" w:space="0" w:color="auto"/>
        <w:right w:val="none" w:sz="0" w:space="0" w:color="auto"/>
      </w:divBdr>
    </w:div>
    <w:div w:id="1083141836">
      <w:bodyDiv w:val="1"/>
      <w:marLeft w:val="0"/>
      <w:marRight w:val="0"/>
      <w:marTop w:val="0"/>
      <w:marBottom w:val="0"/>
      <w:divBdr>
        <w:top w:val="none" w:sz="0" w:space="0" w:color="auto"/>
        <w:left w:val="none" w:sz="0" w:space="0" w:color="auto"/>
        <w:bottom w:val="none" w:sz="0" w:space="0" w:color="auto"/>
        <w:right w:val="none" w:sz="0" w:space="0" w:color="auto"/>
      </w:divBdr>
    </w:div>
    <w:div w:id="1102653150">
      <w:bodyDiv w:val="1"/>
      <w:marLeft w:val="0"/>
      <w:marRight w:val="0"/>
      <w:marTop w:val="0"/>
      <w:marBottom w:val="0"/>
      <w:divBdr>
        <w:top w:val="none" w:sz="0" w:space="0" w:color="auto"/>
        <w:left w:val="none" w:sz="0" w:space="0" w:color="auto"/>
        <w:bottom w:val="none" w:sz="0" w:space="0" w:color="auto"/>
        <w:right w:val="none" w:sz="0" w:space="0" w:color="auto"/>
      </w:divBdr>
    </w:div>
    <w:div w:id="1192453927">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1889815">
      <w:bodyDiv w:val="1"/>
      <w:marLeft w:val="0"/>
      <w:marRight w:val="0"/>
      <w:marTop w:val="0"/>
      <w:marBottom w:val="0"/>
      <w:divBdr>
        <w:top w:val="none" w:sz="0" w:space="0" w:color="auto"/>
        <w:left w:val="none" w:sz="0" w:space="0" w:color="auto"/>
        <w:bottom w:val="none" w:sz="0" w:space="0" w:color="auto"/>
        <w:right w:val="none" w:sz="0" w:space="0" w:color="auto"/>
      </w:divBdr>
    </w:div>
    <w:div w:id="1406099976">
      <w:bodyDiv w:val="1"/>
      <w:marLeft w:val="0"/>
      <w:marRight w:val="0"/>
      <w:marTop w:val="0"/>
      <w:marBottom w:val="0"/>
      <w:divBdr>
        <w:top w:val="none" w:sz="0" w:space="0" w:color="auto"/>
        <w:left w:val="none" w:sz="0" w:space="0" w:color="auto"/>
        <w:bottom w:val="none" w:sz="0" w:space="0" w:color="auto"/>
        <w:right w:val="none" w:sz="0" w:space="0" w:color="auto"/>
      </w:divBdr>
    </w:div>
    <w:div w:id="1411078869">
      <w:bodyDiv w:val="1"/>
      <w:marLeft w:val="0"/>
      <w:marRight w:val="0"/>
      <w:marTop w:val="0"/>
      <w:marBottom w:val="0"/>
      <w:divBdr>
        <w:top w:val="none" w:sz="0" w:space="0" w:color="auto"/>
        <w:left w:val="none" w:sz="0" w:space="0" w:color="auto"/>
        <w:bottom w:val="none" w:sz="0" w:space="0" w:color="auto"/>
        <w:right w:val="none" w:sz="0" w:space="0" w:color="auto"/>
      </w:divBdr>
      <w:divsChild>
        <w:div w:id="1319917546">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433357394">
      <w:bodyDiv w:val="1"/>
      <w:marLeft w:val="0"/>
      <w:marRight w:val="0"/>
      <w:marTop w:val="0"/>
      <w:marBottom w:val="0"/>
      <w:divBdr>
        <w:top w:val="none" w:sz="0" w:space="0" w:color="auto"/>
        <w:left w:val="none" w:sz="0" w:space="0" w:color="auto"/>
        <w:bottom w:val="none" w:sz="0" w:space="0" w:color="auto"/>
        <w:right w:val="none" w:sz="0" w:space="0" w:color="auto"/>
      </w:divBdr>
    </w:div>
    <w:div w:id="1495534412">
      <w:bodyDiv w:val="1"/>
      <w:marLeft w:val="0"/>
      <w:marRight w:val="0"/>
      <w:marTop w:val="0"/>
      <w:marBottom w:val="0"/>
      <w:divBdr>
        <w:top w:val="none" w:sz="0" w:space="0" w:color="auto"/>
        <w:left w:val="none" w:sz="0" w:space="0" w:color="auto"/>
        <w:bottom w:val="none" w:sz="0" w:space="0" w:color="auto"/>
        <w:right w:val="none" w:sz="0" w:space="0" w:color="auto"/>
      </w:divBdr>
    </w:div>
    <w:div w:id="1569917094">
      <w:bodyDiv w:val="1"/>
      <w:marLeft w:val="0"/>
      <w:marRight w:val="0"/>
      <w:marTop w:val="0"/>
      <w:marBottom w:val="0"/>
      <w:divBdr>
        <w:top w:val="none" w:sz="0" w:space="0" w:color="auto"/>
        <w:left w:val="none" w:sz="0" w:space="0" w:color="auto"/>
        <w:bottom w:val="none" w:sz="0" w:space="0" w:color="auto"/>
        <w:right w:val="none" w:sz="0" w:space="0" w:color="auto"/>
      </w:divBdr>
    </w:div>
    <w:div w:id="1639139575">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14054574">
      <w:bodyDiv w:val="1"/>
      <w:marLeft w:val="0"/>
      <w:marRight w:val="0"/>
      <w:marTop w:val="0"/>
      <w:marBottom w:val="0"/>
      <w:divBdr>
        <w:top w:val="none" w:sz="0" w:space="0" w:color="auto"/>
        <w:left w:val="none" w:sz="0" w:space="0" w:color="auto"/>
        <w:bottom w:val="none" w:sz="0" w:space="0" w:color="auto"/>
        <w:right w:val="none" w:sz="0" w:space="0" w:color="auto"/>
      </w:divBdr>
    </w:div>
    <w:div w:id="1841037761">
      <w:bodyDiv w:val="1"/>
      <w:marLeft w:val="0"/>
      <w:marRight w:val="0"/>
      <w:marTop w:val="0"/>
      <w:marBottom w:val="0"/>
      <w:divBdr>
        <w:top w:val="none" w:sz="0" w:space="0" w:color="auto"/>
        <w:left w:val="none" w:sz="0" w:space="0" w:color="auto"/>
        <w:bottom w:val="none" w:sz="0" w:space="0" w:color="auto"/>
        <w:right w:val="none" w:sz="0" w:space="0" w:color="auto"/>
      </w:divBdr>
    </w:div>
    <w:div w:id="1873882181">
      <w:bodyDiv w:val="1"/>
      <w:marLeft w:val="0"/>
      <w:marRight w:val="0"/>
      <w:marTop w:val="0"/>
      <w:marBottom w:val="0"/>
      <w:divBdr>
        <w:top w:val="none" w:sz="0" w:space="0" w:color="auto"/>
        <w:left w:val="none" w:sz="0" w:space="0" w:color="auto"/>
        <w:bottom w:val="none" w:sz="0" w:space="0" w:color="auto"/>
        <w:right w:val="none" w:sz="0" w:space="0" w:color="auto"/>
      </w:divBdr>
    </w:div>
    <w:div w:id="1928228387">
      <w:bodyDiv w:val="1"/>
      <w:marLeft w:val="0"/>
      <w:marRight w:val="0"/>
      <w:marTop w:val="0"/>
      <w:marBottom w:val="0"/>
      <w:divBdr>
        <w:top w:val="none" w:sz="0" w:space="0" w:color="auto"/>
        <w:left w:val="none" w:sz="0" w:space="0" w:color="auto"/>
        <w:bottom w:val="none" w:sz="0" w:space="0" w:color="auto"/>
        <w:right w:val="none" w:sz="0" w:space="0" w:color="auto"/>
      </w:divBdr>
      <w:divsChild>
        <w:div w:id="3311783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9992112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7145916">
      <w:bodyDiv w:val="1"/>
      <w:marLeft w:val="0"/>
      <w:marRight w:val="0"/>
      <w:marTop w:val="0"/>
      <w:marBottom w:val="0"/>
      <w:divBdr>
        <w:top w:val="none" w:sz="0" w:space="0" w:color="auto"/>
        <w:left w:val="none" w:sz="0" w:space="0" w:color="auto"/>
        <w:bottom w:val="none" w:sz="0" w:space="0" w:color="auto"/>
        <w:right w:val="none" w:sz="0" w:space="0" w:color="auto"/>
      </w:divBdr>
    </w:div>
    <w:div w:id="21399490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8163740/https://rbi.org.in/Scripts/NotificationUser.aspx?Id=12487&amp;Mode=0"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72</TotalTime>
  <Pages>47</Pages>
  <Words>22846</Words>
  <Characters>130227</Characters>
  <Application>Microsoft Office Word</Application>
  <DocSecurity>0</DocSecurity>
  <Lines>1085</Lines>
  <Paragraphs>305</Paragraphs>
  <ScaleCrop>false</ScaleCrop>
  <Company/>
  <LinksUpToDate>false</LinksUpToDate>
  <CharactersWithSpaces>152768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Vihaan Pathak</cp:lastModifiedBy>
  <cp:revision>44</cp:revision>
  <cp:lastPrinted>2025-03-21T00:14:00Z</cp:lastPrinted>
  <dcterms:created xsi:type="dcterms:W3CDTF">2025-06-23T10:45:00Z</dcterms:created>
  <dcterms:modified xsi:type="dcterms:W3CDTF">2025-07-08T18:13:00Z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